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5D24B" w14:textId="32707021" w:rsidR="006B2A57" w:rsidRDefault="00FF1022" w:rsidP="000C2C53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8265F">
        <w:rPr>
          <w:rFonts w:ascii="Times New Roman" w:hAnsi="Times New Roman" w:cs="Times New Roman"/>
          <w:b/>
          <w:sz w:val="24"/>
          <w:szCs w:val="24"/>
          <w:lang w:val="hu-HU"/>
        </w:rPr>
        <w:t>„</w:t>
      </w:r>
      <w:r w:rsidRPr="00A678D4">
        <w:rPr>
          <w:rFonts w:ascii="Times New Roman" w:hAnsi="Times New Roman" w:cs="Times New Roman"/>
          <w:b/>
          <w:i/>
          <w:sz w:val="24"/>
          <w:szCs w:val="24"/>
          <w:lang w:val="hu-HU"/>
        </w:rPr>
        <w:t>MAXIMUS HALLGATÓI DÍJ A LEGKIEMELKEDŐBB TUDOMÁNYOS MUNKÁÉRT</w:t>
      </w:r>
      <w:r w:rsidRPr="0098265F">
        <w:rPr>
          <w:rFonts w:ascii="Times New Roman" w:hAnsi="Times New Roman" w:cs="Times New Roman"/>
          <w:b/>
          <w:sz w:val="24"/>
          <w:szCs w:val="24"/>
          <w:lang w:val="hu-HU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14:paraId="423B14C7" w14:textId="5088E402" w:rsidR="005102B5" w:rsidRPr="00505B95" w:rsidRDefault="002F53C5" w:rsidP="00505B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05B95">
        <w:rPr>
          <w:rFonts w:ascii="Times New Roman" w:hAnsi="Times New Roman" w:cs="Times New Roman"/>
          <w:b/>
          <w:sz w:val="24"/>
          <w:szCs w:val="24"/>
          <w:lang w:val="hu-HU"/>
        </w:rPr>
        <w:t xml:space="preserve">- </w:t>
      </w:r>
      <w:r w:rsidR="00B60AC5" w:rsidRPr="00505B95">
        <w:rPr>
          <w:rFonts w:ascii="Times New Roman" w:hAnsi="Times New Roman" w:cs="Times New Roman"/>
          <w:b/>
          <w:sz w:val="24"/>
          <w:szCs w:val="24"/>
          <w:lang w:val="hu-HU"/>
        </w:rPr>
        <w:t>Pályázati kiírás -</w:t>
      </w:r>
    </w:p>
    <w:p w14:paraId="3BA1594B" w14:textId="77777777" w:rsidR="00E86519" w:rsidRDefault="00E86519" w:rsidP="000C2C53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4EED6D14" w14:textId="77777777" w:rsidR="00B60AC5" w:rsidRDefault="00B60AC5" w:rsidP="000C2C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E9E3317" w14:textId="48A75F37" w:rsidR="005102B5" w:rsidRDefault="005102B5" w:rsidP="000C2C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Figyelembe véve a Csíkszeredai Kar képzési kínálatának sokszínüségét a </w:t>
      </w:r>
      <w:r w:rsidRPr="0098265F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Pr="0098265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MAXIMUS </w:t>
      </w:r>
      <w:r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hallgatói </w:t>
      </w:r>
      <w:r w:rsidRPr="0098265F">
        <w:rPr>
          <w:rFonts w:ascii="Times New Roman" w:hAnsi="Times New Roman" w:cs="Times New Roman"/>
          <w:b/>
          <w:i/>
          <w:sz w:val="24"/>
          <w:szCs w:val="24"/>
          <w:lang w:val="hu-HU"/>
        </w:rPr>
        <w:t>díj a legkiemelkedőbb tudományos munkáért</w:t>
      </w:r>
      <w:r w:rsidRPr="0098265F">
        <w:rPr>
          <w:rFonts w:ascii="Times New Roman" w:hAnsi="Times New Roman" w:cs="Times New Roman"/>
          <w:sz w:val="24"/>
          <w:szCs w:val="24"/>
          <w:lang w:val="hu-HU"/>
        </w:rPr>
        <w:t>” című</w:t>
      </w:r>
      <w:r w:rsidR="00B31285">
        <w:rPr>
          <w:rFonts w:ascii="Times New Roman" w:hAnsi="Times New Roman" w:cs="Times New Roman"/>
          <w:sz w:val="24"/>
          <w:szCs w:val="24"/>
          <w:lang w:val="hu-HU"/>
        </w:rPr>
        <w:t xml:space="preserve"> díj négy tudományterületen (h</w:t>
      </w:r>
      <w:r>
        <w:rPr>
          <w:rFonts w:ascii="Times New Roman" w:hAnsi="Times New Roman" w:cs="Times New Roman"/>
          <w:sz w:val="24"/>
          <w:szCs w:val="24"/>
          <w:lang w:val="hu-HU"/>
        </w:rPr>
        <w:t>umántudományok,</w:t>
      </w:r>
      <w:r w:rsidR="00B31285">
        <w:rPr>
          <w:rFonts w:ascii="Times New Roman" w:hAnsi="Times New Roman" w:cs="Times New Roman"/>
          <w:sz w:val="24"/>
          <w:szCs w:val="24"/>
          <w:lang w:val="hu-HU"/>
        </w:rPr>
        <w:t xml:space="preserve"> g</w:t>
      </w:r>
      <w:r w:rsidR="00892FDE">
        <w:rPr>
          <w:rFonts w:ascii="Times New Roman" w:hAnsi="Times New Roman" w:cs="Times New Roman"/>
          <w:sz w:val="24"/>
          <w:szCs w:val="24"/>
          <w:lang w:val="hu-HU"/>
        </w:rPr>
        <w:t>azdasá</w:t>
      </w:r>
      <w:r w:rsidR="00B31285">
        <w:rPr>
          <w:rFonts w:ascii="Times New Roman" w:hAnsi="Times New Roman" w:cs="Times New Roman"/>
          <w:sz w:val="24"/>
          <w:szCs w:val="24"/>
          <w:lang w:val="hu-HU"/>
        </w:rPr>
        <w:t>gtudományok, 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ársadalomtudományok, és </w:t>
      </w:r>
      <w:r w:rsidR="00B31285">
        <w:rPr>
          <w:rFonts w:ascii="Times New Roman" w:hAnsi="Times New Roman" w:cs="Times New Roman"/>
          <w:sz w:val="24"/>
          <w:szCs w:val="24"/>
          <w:lang w:val="hu-HU"/>
        </w:rPr>
        <w:t>mérnöki t</w:t>
      </w:r>
      <w:r>
        <w:rPr>
          <w:rFonts w:ascii="Times New Roman" w:hAnsi="Times New Roman" w:cs="Times New Roman"/>
          <w:sz w:val="24"/>
          <w:szCs w:val="24"/>
          <w:lang w:val="hu-HU"/>
        </w:rPr>
        <w:t>udományok) kerül kiosztásra</w:t>
      </w:r>
      <w:r w:rsidR="009421BB">
        <w:rPr>
          <w:rFonts w:ascii="Times New Roman" w:hAnsi="Times New Roman" w:cs="Times New Roman"/>
          <w:sz w:val="24"/>
          <w:szCs w:val="24"/>
          <w:lang w:val="hu-HU"/>
        </w:rPr>
        <w:t xml:space="preserve">. A díj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tudományterületenként </w:t>
      </w:r>
      <w:r w:rsidR="009421BB">
        <w:rPr>
          <w:rFonts w:ascii="Times New Roman" w:hAnsi="Times New Roman" w:cs="Times New Roman"/>
          <w:sz w:val="24"/>
          <w:szCs w:val="24"/>
          <w:lang w:val="hu-HU"/>
        </w:rPr>
        <w:t xml:space="preserve">legfeljebb </w:t>
      </w:r>
      <w:r w:rsidR="0048277F">
        <w:rPr>
          <w:rFonts w:ascii="Times New Roman" w:hAnsi="Times New Roman" w:cs="Times New Roman"/>
          <w:sz w:val="24"/>
          <w:szCs w:val="24"/>
          <w:lang w:val="hu-HU"/>
        </w:rPr>
        <w:t>egy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421BB">
        <w:rPr>
          <w:rFonts w:ascii="Times New Roman" w:hAnsi="Times New Roman" w:cs="Times New Roman"/>
          <w:sz w:val="24"/>
          <w:szCs w:val="24"/>
          <w:lang w:val="hu-HU"/>
        </w:rPr>
        <w:t>hallgatónak ítélhető oda.</w:t>
      </w:r>
    </w:p>
    <w:p w14:paraId="1D5C084A" w14:textId="7A8F6F3B" w:rsidR="006403CA" w:rsidRDefault="008B40AC" w:rsidP="000C2C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712C9">
        <w:rPr>
          <w:rFonts w:ascii="Times New Roman" w:hAnsi="Times New Roman" w:cs="Times New Roman"/>
          <w:sz w:val="24"/>
          <w:szCs w:val="24"/>
          <w:lang w:val="hu-HU"/>
        </w:rPr>
        <w:t xml:space="preserve">A díjat </w:t>
      </w:r>
      <w:r w:rsidR="00F13327" w:rsidRPr="001712C9">
        <w:rPr>
          <w:rFonts w:ascii="Times New Roman" w:hAnsi="Times New Roman" w:cs="Times New Roman"/>
          <w:sz w:val="24"/>
          <w:szCs w:val="24"/>
          <w:lang w:val="hu-HU"/>
        </w:rPr>
        <w:t xml:space="preserve">pályázati úton lehet elnyerni. A pályázatot </w:t>
      </w:r>
      <w:r w:rsidRPr="001712C9">
        <w:rPr>
          <w:rFonts w:ascii="Times New Roman" w:hAnsi="Times New Roman" w:cs="Times New Roman"/>
          <w:sz w:val="24"/>
          <w:szCs w:val="24"/>
          <w:lang w:val="hu-HU"/>
        </w:rPr>
        <w:t>a Sapientia EMTE</w:t>
      </w:r>
      <w:r w:rsidR="00F13327" w:rsidRPr="001712C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421BB">
        <w:rPr>
          <w:rFonts w:ascii="Times New Roman" w:hAnsi="Times New Roman" w:cs="Times New Roman"/>
          <w:sz w:val="24"/>
          <w:szCs w:val="24"/>
          <w:lang w:val="hu-HU"/>
        </w:rPr>
        <w:t xml:space="preserve">Csíkszeredai Kar Tehetséggondozási Bizottsága </w:t>
      </w:r>
      <w:r w:rsidR="001712C9" w:rsidRPr="001712C9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9421BB">
        <w:rPr>
          <w:rFonts w:ascii="Times New Roman" w:hAnsi="Times New Roman" w:cs="Times New Roman"/>
          <w:sz w:val="24"/>
          <w:szCs w:val="24"/>
          <w:lang w:val="hu-HU"/>
        </w:rPr>
        <w:t>KTB)</w:t>
      </w:r>
      <w:r w:rsidR="00F13327" w:rsidRPr="001712C9">
        <w:rPr>
          <w:rFonts w:ascii="Times New Roman" w:hAnsi="Times New Roman" w:cs="Times New Roman"/>
          <w:sz w:val="24"/>
          <w:szCs w:val="24"/>
          <w:lang w:val="hu-HU"/>
        </w:rPr>
        <w:t xml:space="preserve"> hirdeti meg</w:t>
      </w:r>
      <w:r w:rsidRPr="001712C9">
        <w:rPr>
          <w:rFonts w:ascii="Times New Roman" w:hAnsi="Times New Roman" w:cs="Times New Roman"/>
          <w:sz w:val="24"/>
          <w:szCs w:val="24"/>
          <w:lang w:val="hu-HU"/>
        </w:rPr>
        <w:t>, k</w:t>
      </w:r>
      <w:r w:rsidR="004E57A0" w:rsidRPr="001712C9">
        <w:rPr>
          <w:rFonts w:ascii="Times New Roman" w:hAnsi="Times New Roman" w:cs="Times New Roman"/>
          <w:sz w:val="24"/>
          <w:szCs w:val="24"/>
          <w:lang w:val="hu-HU"/>
        </w:rPr>
        <w:t>özzétéve</w:t>
      </w:r>
      <w:r w:rsidRPr="001712C9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1712C9"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pályázás feltételeit, az </w:t>
      </w:r>
      <w:r w:rsidRPr="001712C9">
        <w:rPr>
          <w:rFonts w:ascii="Times New Roman" w:hAnsi="Times New Roman" w:cs="Times New Roman"/>
          <w:sz w:val="24"/>
          <w:szCs w:val="24"/>
          <w:lang w:val="hu-HU"/>
        </w:rPr>
        <w:t xml:space="preserve">elbírálás szempontjait (lásd </w:t>
      </w:r>
      <w:r w:rsidRPr="001712C9">
        <w:rPr>
          <w:rFonts w:ascii="Times New Roman" w:hAnsi="Times New Roman" w:cs="Times New Roman"/>
          <w:b/>
          <w:i/>
          <w:sz w:val="24"/>
          <w:szCs w:val="24"/>
          <w:lang w:val="hu-HU"/>
        </w:rPr>
        <w:t>1-es számú Melléklet</w:t>
      </w:r>
      <w:r w:rsidR="009421BB">
        <w:rPr>
          <w:rFonts w:ascii="Times New Roman" w:hAnsi="Times New Roman" w:cs="Times New Roman"/>
          <w:sz w:val="24"/>
          <w:szCs w:val="24"/>
          <w:lang w:val="hu-HU"/>
        </w:rPr>
        <w:t>) és a benyújtási határidőt</w:t>
      </w:r>
      <w:r w:rsidRPr="001712C9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583A11" w:rsidRPr="001712C9">
        <w:rPr>
          <w:rFonts w:ascii="Times New Roman" w:hAnsi="Times New Roman" w:cs="Times New Roman"/>
          <w:sz w:val="24"/>
          <w:szCs w:val="24"/>
          <w:lang w:val="hu-HU"/>
        </w:rPr>
        <w:t xml:space="preserve">A díj oklevélből és pénzbeli jutalomból áll, amely minden évben az évzáró ünnepségeken kerül átadásra </w:t>
      </w:r>
      <w:r w:rsidR="009421BB">
        <w:rPr>
          <w:rFonts w:ascii="Times New Roman" w:hAnsi="Times New Roman" w:cs="Times New Roman"/>
          <w:sz w:val="24"/>
          <w:szCs w:val="24"/>
          <w:lang w:val="hu-HU"/>
        </w:rPr>
        <w:t>a K</w:t>
      </w:r>
      <w:r w:rsidR="00583A11">
        <w:rPr>
          <w:rFonts w:ascii="Times New Roman" w:hAnsi="Times New Roman" w:cs="Times New Roman"/>
          <w:sz w:val="24"/>
          <w:szCs w:val="24"/>
          <w:lang w:val="hu-HU"/>
        </w:rPr>
        <w:t>ari Tehetséggondozási B</w:t>
      </w:r>
      <w:r w:rsidR="00583A11" w:rsidRPr="00D01C8A">
        <w:rPr>
          <w:rFonts w:ascii="Times New Roman" w:hAnsi="Times New Roman" w:cs="Times New Roman"/>
          <w:sz w:val="24"/>
          <w:szCs w:val="24"/>
          <w:lang w:val="hu-HU"/>
        </w:rPr>
        <w:t>izottság</w:t>
      </w:r>
      <w:r w:rsidR="009421B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421BB"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képviselője </w:t>
      </w:r>
      <w:r w:rsidR="00583A11" w:rsidRPr="004E57A0"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által.</w:t>
      </w:r>
      <w:r w:rsidR="00583A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3B3E3BEB" w14:textId="13DC7819" w:rsidR="009421BB" w:rsidRPr="002C3929" w:rsidRDefault="00F13327" w:rsidP="000C2C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C3929">
        <w:rPr>
          <w:rFonts w:ascii="Times New Roman" w:hAnsi="Times New Roman" w:cs="Times New Roman"/>
          <w:sz w:val="24"/>
          <w:szCs w:val="24"/>
          <w:lang w:val="hu-HU"/>
        </w:rPr>
        <w:t xml:space="preserve">A diákkutatói díj esetében </w:t>
      </w:r>
      <w:r w:rsidR="00C5129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2C3929"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9421BB">
        <w:rPr>
          <w:rFonts w:ascii="Times New Roman" w:hAnsi="Times New Roman" w:cs="Times New Roman"/>
          <w:sz w:val="24"/>
          <w:szCs w:val="24"/>
          <w:lang w:val="hu-HU"/>
        </w:rPr>
        <w:t xml:space="preserve">énzbeli jutalom értéke </w:t>
      </w:r>
      <w:r w:rsidRPr="002C3929">
        <w:rPr>
          <w:rFonts w:ascii="Times New Roman" w:hAnsi="Times New Roman" w:cs="Times New Roman"/>
          <w:sz w:val="24"/>
          <w:szCs w:val="24"/>
          <w:lang w:val="hu-HU"/>
        </w:rPr>
        <w:t>1500 R</w:t>
      </w:r>
      <w:r w:rsidR="00E90189" w:rsidRPr="002C3929">
        <w:rPr>
          <w:rFonts w:ascii="Times New Roman" w:hAnsi="Times New Roman" w:cs="Times New Roman"/>
          <w:sz w:val="24"/>
          <w:szCs w:val="24"/>
          <w:lang w:val="hu-HU"/>
        </w:rPr>
        <w:t xml:space="preserve">ON/hallgató/tudományterület. </w:t>
      </w:r>
    </w:p>
    <w:p w14:paraId="690D46C4" w14:textId="7D02E69F" w:rsidR="009421BB" w:rsidRDefault="00564051" w:rsidP="002F5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C3929">
        <w:rPr>
          <w:rFonts w:ascii="Times New Roman" w:hAnsi="Times New Roman" w:cs="Times New Roman"/>
          <w:sz w:val="24"/>
          <w:szCs w:val="24"/>
          <w:lang w:val="hu-HU"/>
        </w:rPr>
        <w:t xml:space="preserve">Az egyes tudományterületekre beérkezett pályázatokat </w:t>
      </w:r>
      <w:r w:rsidR="009421BB">
        <w:rPr>
          <w:rFonts w:ascii="Times New Roman" w:hAnsi="Times New Roman" w:cs="Times New Roman"/>
          <w:sz w:val="24"/>
          <w:szCs w:val="24"/>
          <w:lang w:val="hu-HU"/>
        </w:rPr>
        <w:t xml:space="preserve">a Kari </w:t>
      </w:r>
      <w:r w:rsidR="000C2C53">
        <w:rPr>
          <w:rFonts w:ascii="Times New Roman" w:hAnsi="Times New Roman" w:cs="Times New Roman"/>
          <w:sz w:val="24"/>
          <w:szCs w:val="24"/>
          <w:lang w:val="hu-HU"/>
        </w:rPr>
        <w:t>Tehetséggondozási Bizottság</w:t>
      </w:r>
      <w:r w:rsidR="009421BB">
        <w:rPr>
          <w:rFonts w:ascii="Times New Roman" w:hAnsi="Times New Roman" w:cs="Times New Roman"/>
          <w:sz w:val="24"/>
          <w:szCs w:val="24"/>
          <w:lang w:val="hu-HU"/>
        </w:rPr>
        <w:t xml:space="preserve"> bírálja el, a diákok által – az 1-es Számú melléklet alapján - elért pontszámok alapján, figyelembe véve a pályázó diák képzési idejének az időtartamát (3,4 </w:t>
      </w:r>
      <w:r w:rsidR="000C2C53">
        <w:rPr>
          <w:rFonts w:ascii="Times New Roman" w:hAnsi="Times New Roman" w:cs="Times New Roman"/>
          <w:sz w:val="24"/>
          <w:szCs w:val="24"/>
          <w:lang w:val="hu-HU"/>
        </w:rPr>
        <w:t xml:space="preserve">év </w:t>
      </w:r>
      <w:r w:rsidR="009421BB">
        <w:rPr>
          <w:rFonts w:ascii="Times New Roman" w:hAnsi="Times New Roman" w:cs="Times New Roman"/>
          <w:sz w:val="24"/>
          <w:szCs w:val="24"/>
          <w:lang w:val="hu-HU"/>
        </w:rPr>
        <w:t xml:space="preserve">illetve 5 vagy 6 év) illetve az adott diák által elért pontszám viszonyát </w:t>
      </w:r>
      <w:r w:rsidR="000C2C53">
        <w:rPr>
          <w:rFonts w:ascii="Times New Roman" w:hAnsi="Times New Roman" w:cs="Times New Roman"/>
          <w:sz w:val="24"/>
          <w:szCs w:val="24"/>
          <w:lang w:val="hu-HU"/>
        </w:rPr>
        <w:t>a saját tudományterületének és saját kategoriájának (alapképzéses vagy mesteris) átlag pontszámához viszonyítva.</w:t>
      </w:r>
    </w:p>
    <w:p w14:paraId="471F1A0C" w14:textId="77777777" w:rsidR="002F53C5" w:rsidRDefault="00767F8A" w:rsidP="002F53C5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A díjra végzős </w:t>
      </w:r>
      <w:r w:rsidR="000C2C53" w:rsidRPr="002F53C5">
        <w:rPr>
          <w:rFonts w:ascii="Times New Roman" w:hAnsi="Times New Roman" w:cs="Times New Roman"/>
          <w:sz w:val="24"/>
          <w:szCs w:val="24"/>
          <w:lang w:val="hu-HU"/>
        </w:rPr>
        <w:t>alapképzéses</w:t>
      </w:r>
      <w:r w:rsidR="008E14BB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="00FF1022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végzős </w:t>
      </w:r>
      <w:r w:rsidR="008E14BB" w:rsidRPr="002F53C5">
        <w:rPr>
          <w:rFonts w:ascii="Times New Roman" w:hAnsi="Times New Roman" w:cs="Times New Roman"/>
          <w:sz w:val="24"/>
          <w:szCs w:val="24"/>
          <w:lang w:val="hu-HU"/>
        </w:rPr>
        <w:t>mesteri</w:t>
      </w:r>
      <w:r w:rsidR="000C2C53" w:rsidRPr="002F53C5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8E14BB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F53C5">
        <w:rPr>
          <w:rFonts w:ascii="Times New Roman" w:hAnsi="Times New Roman" w:cs="Times New Roman"/>
          <w:sz w:val="24"/>
          <w:szCs w:val="24"/>
          <w:lang w:val="hu-HU"/>
        </w:rPr>
        <w:t>hallgatók pályázhatnak</w:t>
      </w:r>
      <w:r w:rsidR="00C46FFD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 (tanulmá</w:t>
      </w:r>
      <w:r w:rsidR="008E14BB" w:rsidRPr="002F53C5">
        <w:rPr>
          <w:rFonts w:ascii="Times New Roman" w:hAnsi="Times New Roman" w:cs="Times New Roman"/>
          <w:sz w:val="24"/>
          <w:szCs w:val="24"/>
          <w:lang w:val="hu-HU"/>
        </w:rPr>
        <w:t>nyai</w:t>
      </w:r>
      <w:r w:rsidR="00C46FFD" w:rsidRPr="002F53C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8E14BB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 meghossz</w:t>
      </w:r>
      <w:r w:rsidR="00C46FFD" w:rsidRPr="002F53C5">
        <w:rPr>
          <w:rFonts w:ascii="Times New Roman" w:hAnsi="Times New Roman" w:cs="Times New Roman"/>
          <w:sz w:val="24"/>
          <w:szCs w:val="24"/>
          <w:lang w:val="hu-HU"/>
        </w:rPr>
        <w:t>abításában lévő hallgatók nem pályá</w:t>
      </w:r>
      <w:r w:rsidR="008E14BB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zhatnak). </w:t>
      </w:r>
      <w:r w:rsidRPr="002F53C5">
        <w:rPr>
          <w:rFonts w:ascii="Times New Roman" w:hAnsi="Times New Roman" w:cs="Times New Roman"/>
          <w:sz w:val="24"/>
          <w:szCs w:val="24"/>
          <w:lang w:val="hu-HU"/>
        </w:rPr>
        <w:t>Csak olyan tudományos eredmények vehetők figyel</w:t>
      </w:r>
      <w:r w:rsidR="001C250E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embe, </w:t>
      </w:r>
      <w:r w:rsidRPr="002F53C5">
        <w:rPr>
          <w:rFonts w:ascii="Times New Roman" w:hAnsi="Times New Roman" w:cs="Times New Roman"/>
          <w:sz w:val="24"/>
          <w:szCs w:val="24"/>
          <w:lang w:val="hu-HU"/>
        </w:rPr>
        <w:t>amelyek a Sapientia EMTE-vel való aktív hallgatói jogviszony időszaka alatt születtek.</w:t>
      </w:r>
    </w:p>
    <w:p w14:paraId="173E2B85" w14:textId="77777777" w:rsidR="002F53C5" w:rsidRDefault="00767F8A" w:rsidP="002F53C5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1C250E" w:rsidRPr="002F53C5">
        <w:rPr>
          <w:rFonts w:ascii="Times New Roman" w:hAnsi="Times New Roman" w:cs="Times New Roman"/>
          <w:b/>
          <w:sz w:val="24"/>
          <w:szCs w:val="24"/>
          <w:lang w:val="hu-HU"/>
        </w:rPr>
        <w:t xml:space="preserve">1-es számú </w:t>
      </w:r>
      <w:r w:rsidRPr="002F53C5">
        <w:rPr>
          <w:rFonts w:ascii="Times New Roman" w:hAnsi="Times New Roman" w:cs="Times New Roman"/>
          <w:b/>
          <w:sz w:val="24"/>
          <w:szCs w:val="24"/>
          <w:lang w:val="hu-HU"/>
        </w:rPr>
        <w:t>Mellékletben</w:t>
      </w:r>
      <w:r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13327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meghatározott </w:t>
      </w:r>
      <w:r w:rsidRPr="002F53C5">
        <w:rPr>
          <w:rFonts w:ascii="Times New Roman" w:hAnsi="Times New Roman" w:cs="Times New Roman"/>
          <w:sz w:val="24"/>
          <w:szCs w:val="24"/>
          <w:lang w:val="hu-HU"/>
        </w:rPr>
        <w:t>kritériumrendszer alapján összeállított pályázatot lezárt borítékban a Kari Tanulmányi Titkárságra kell leadni</w:t>
      </w:r>
      <w:r w:rsidR="003938AD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 a meghirdetett határidőre</w:t>
      </w:r>
      <w:r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F13327" w:rsidRPr="002F53C5">
        <w:rPr>
          <w:rFonts w:ascii="Times New Roman" w:hAnsi="Times New Roman" w:cs="Times New Roman"/>
          <w:sz w:val="24"/>
          <w:szCs w:val="24"/>
          <w:lang w:val="hu-HU"/>
        </w:rPr>
        <w:t>A pályázatnak részletes információkat kell tartalmaznia</w:t>
      </w:r>
      <w:r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 az adott teljesítmény </w:t>
      </w:r>
      <w:r w:rsidR="00F13327" w:rsidRPr="002F53C5">
        <w:rPr>
          <w:rFonts w:ascii="Times New Roman" w:hAnsi="Times New Roman" w:cs="Times New Roman"/>
          <w:sz w:val="24"/>
          <w:szCs w:val="24"/>
          <w:lang w:val="hu-HU"/>
        </w:rPr>
        <w:t>háttéradataira vonatkozóan</w:t>
      </w:r>
      <w:r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: így pl. </w:t>
      </w:r>
      <w:r w:rsidR="00F13327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kari </w:t>
      </w:r>
      <w:r w:rsidRPr="002F53C5">
        <w:rPr>
          <w:rFonts w:ascii="Times New Roman" w:hAnsi="Times New Roman" w:cs="Times New Roman"/>
          <w:sz w:val="24"/>
          <w:szCs w:val="24"/>
          <w:lang w:val="hu-HU"/>
        </w:rPr>
        <w:t>TDK-n való részvétel esetében: szerző(k) neve és szakja, dolgozat címe, témavezető(k) neve, TDK helyszíne és időpontja, elért helyezés. A pályázathoz mellékelni kell a bizonyító dokumentumokat fénymásolva (pl. oklevelek, részvételi lap, megjelent publikációk</w:t>
      </w:r>
      <w:r w:rsidR="00E36EDD" w:rsidRPr="002F53C5">
        <w:rPr>
          <w:rFonts w:ascii="Times New Roman" w:hAnsi="Times New Roman" w:cs="Times New Roman"/>
          <w:sz w:val="24"/>
          <w:szCs w:val="24"/>
          <w:lang w:val="hu-HU"/>
        </w:rPr>
        <w:t>, programfüzet</w:t>
      </w:r>
      <w:r w:rsidR="00294E09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2F53C5">
        <w:rPr>
          <w:rFonts w:ascii="Times New Roman" w:hAnsi="Times New Roman" w:cs="Times New Roman"/>
          <w:sz w:val="24"/>
          <w:szCs w:val="24"/>
          <w:lang w:val="hu-HU"/>
        </w:rPr>
        <w:t>stb.).</w:t>
      </w:r>
      <w:r w:rsidR="00F13327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1383BA02" w14:textId="47184763" w:rsidR="009239E2" w:rsidRPr="002F53C5" w:rsidRDefault="00C51290" w:rsidP="002F53C5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F53C5">
        <w:rPr>
          <w:rFonts w:ascii="Times New Roman" w:hAnsi="Times New Roman" w:cs="Times New Roman"/>
          <w:sz w:val="24"/>
          <w:szCs w:val="24"/>
          <w:lang w:val="hu-HU"/>
        </w:rPr>
        <w:t>Legtöbb 4 díj</w:t>
      </w:r>
      <w:r w:rsidR="000C2C53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 ítélődik oda évente, úgy hogy</w:t>
      </w:r>
      <w:r w:rsidR="009239E2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 szakterületenként </w:t>
      </w:r>
      <w:r w:rsidR="000C2C53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(Humántudományok, Gazdasági Tudományok, Társadalomtudományok, és Mérnöki Tudományok) </w:t>
      </w:r>
      <w:r w:rsidR="009239E2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legfeljebb csak </w:t>
      </w:r>
      <w:r w:rsidR="000C2C53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egy </w:t>
      </w:r>
      <w:r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végzős (alapképzéses vagy mesteris) hallgató </w:t>
      </w:r>
      <w:r w:rsidR="000C2C53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kaphat </w:t>
      </w:r>
      <w:r w:rsidR="009239E2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ösztöndíjat. </w:t>
      </w:r>
      <w:r w:rsidR="00F13327" w:rsidRPr="002F53C5">
        <w:rPr>
          <w:rFonts w:ascii="Times New Roman" w:hAnsi="Times New Roman" w:cs="Times New Roman"/>
          <w:sz w:val="24"/>
          <w:szCs w:val="24"/>
          <w:lang w:val="hu-HU"/>
        </w:rPr>
        <w:t xml:space="preserve">Kivételes esetben (nagyon közeli pontszámoknál) dönthet úgy a bizottság, hogy megosztva adja ki a díjat (ilyen esetben a pénzbeli jutalom is megosztásra kerül). </w:t>
      </w:r>
    </w:p>
    <w:p w14:paraId="7EBA5B40" w14:textId="77777777" w:rsidR="007C29D3" w:rsidRDefault="00C84536" w:rsidP="00FF59C7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br w:type="column"/>
      </w:r>
      <w:r w:rsidR="00D46C86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1</w:t>
      </w:r>
      <w:r w:rsidR="000F30EF">
        <w:rPr>
          <w:rFonts w:ascii="Times New Roman" w:hAnsi="Times New Roman" w:cs="Times New Roman"/>
          <w:b/>
          <w:sz w:val="24"/>
          <w:szCs w:val="24"/>
          <w:lang w:val="hu-HU"/>
        </w:rPr>
        <w:t>-es</w:t>
      </w:r>
      <w:r w:rsidR="00B560B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számú MELLÉKLET</w:t>
      </w:r>
    </w:p>
    <w:p w14:paraId="496B28CC" w14:textId="533269E0" w:rsidR="00BC0667" w:rsidRPr="00B560B3" w:rsidRDefault="00CF37C1" w:rsidP="00FF59C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A </w:t>
      </w:r>
      <w:r w:rsidR="007C29D3" w:rsidRPr="00B560B3">
        <w:rPr>
          <w:rFonts w:ascii="Times New Roman" w:hAnsi="Times New Roman" w:cs="Times New Roman"/>
          <w:b/>
          <w:i/>
          <w:sz w:val="24"/>
          <w:szCs w:val="24"/>
          <w:lang w:val="hu-HU"/>
        </w:rPr>
        <w:t>MAXIMUS HALLGATÓI DÍJ</w:t>
      </w:r>
      <w:r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ÉRTÉKELÉSÉNEK PONTOZÁSI RENDSZERE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4"/>
        <w:gridCol w:w="2474"/>
        <w:gridCol w:w="2287"/>
        <w:gridCol w:w="1615"/>
      </w:tblGrid>
      <w:tr w:rsidR="00D977F3" w:rsidRPr="00B560B3" w14:paraId="40D86A85" w14:textId="77777777" w:rsidTr="0079094F">
        <w:tc>
          <w:tcPr>
            <w:tcW w:w="2974" w:type="dxa"/>
            <w:vAlign w:val="center"/>
          </w:tcPr>
          <w:p w14:paraId="2F09009D" w14:textId="77777777" w:rsidR="00D977F3" w:rsidRPr="00B560B3" w:rsidRDefault="00D977F3" w:rsidP="00CD1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Teljesítménymutató</w:t>
            </w:r>
          </w:p>
        </w:tc>
        <w:tc>
          <w:tcPr>
            <w:tcW w:w="2474" w:type="dxa"/>
            <w:vAlign w:val="center"/>
          </w:tcPr>
          <w:p w14:paraId="07694D19" w14:textId="77777777" w:rsidR="00D977F3" w:rsidRPr="00B560B3" w:rsidRDefault="00D977F3" w:rsidP="00CD1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Pontszám</w:t>
            </w:r>
          </w:p>
        </w:tc>
        <w:tc>
          <w:tcPr>
            <w:tcW w:w="2287" w:type="dxa"/>
            <w:vAlign w:val="center"/>
          </w:tcPr>
          <w:p w14:paraId="6DBF6530" w14:textId="77777777" w:rsidR="00D977F3" w:rsidRPr="00B560B3" w:rsidRDefault="00D977F3" w:rsidP="00CD1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Megjegyzés</w:t>
            </w:r>
          </w:p>
        </w:tc>
        <w:tc>
          <w:tcPr>
            <w:tcW w:w="1615" w:type="dxa"/>
          </w:tcPr>
          <w:p w14:paraId="6299C99D" w14:textId="77777777" w:rsidR="00D977F3" w:rsidRPr="00B560B3" w:rsidRDefault="00D977F3" w:rsidP="00CD1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Elért pontszám</w:t>
            </w:r>
          </w:p>
        </w:tc>
      </w:tr>
      <w:tr w:rsidR="00D977F3" w:rsidRPr="00B560B3" w14:paraId="6E19A58B" w14:textId="77777777" w:rsidTr="0079094F">
        <w:trPr>
          <w:trHeight w:val="683"/>
        </w:trPr>
        <w:tc>
          <w:tcPr>
            <w:tcW w:w="7735" w:type="dxa"/>
            <w:gridSpan w:val="3"/>
            <w:vAlign w:val="center"/>
          </w:tcPr>
          <w:p w14:paraId="497B4C07" w14:textId="77777777" w:rsidR="00D977F3" w:rsidRPr="00B560B3" w:rsidRDefault="00D977F3" w:rsidP="00D35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Tudományos diákköri konferencia</w:t>
            </w:r>
          </w:p>
        </w:tc>
        <w:tc>
          <w:tcPr>
            <w:tcW w:w="1615" w:type="dxa"/>
          </w:tcPr>
          <w:p w14:paraId="1A208EF9" w14:textId="77777777" w:rsidR="00D977F3" w:rsidRPr="00B560B3" w:rsidRDefault="00D977F3" w:rsidP="00D35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D977F3" w:rsidRPr="004A460E" w14:paraId="6814AFAF" w14:textId="77777777" w:rsidTr="0079094F">
        <w:tc>
          <w:tcPr>
            <w:tcW w:w="2974" w:type="dxa"/>
            <w:vAlign w:val="center"/>
          </w:tcPr>
          <w:p w14:paraId="68F0C373" w14:textId="77777777" w:rsidR="00D977F3" w:rsidRPr="00B560B3" w:rsidRDefault="000F30E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Országos Tudományos Diákköri K</w:t>
            </w:r>
            <w:r w:rsidR="00D977F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onferencia (OTDK)</w:t>
            </w:r>
          </w:p>
        </w:tc>
        <w:tc>
          <w:tcPr>
            <w:tcW w:w="2474" w:type="dxa"/>
            <w:vAlign w:val="center"/>
          </w:tcPr>
          <w:p w14:paraId="7786F9A7" w14:textId="77777777" w:rsidR="00D977F3" w:rsidRPr="00B560B3" w:rsidRDefault="00D977F3" w:rsidP="00D35D5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díj: </w:t>
            </w:r>
            <w:r w:rsidR="00FB2388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70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  <w:p w14:paraId="10246492" w14:textId="77777777" w:rsidR="00D977F3" w:rsidRPr="00B560B3" w:rsidRDefault="00D977F3" w:rsidP="00D35D5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díj</w:t>
            </w:r>
            <w:r w:rsidR="00FB2388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 6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 pont</w:t>
            </w:r>
          </w:p>
          <w:p w14:paraId="5F32F3E7" w14:textId="77777777" w:rsidR="00D977F3" w:rsidRPr="00B560B3" w:rsidRDefault="00D977F3" w:rsidP="00D35D5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III.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díj: </w:t>
            </w:r>
            <w:r w:rsidR="00FB2388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 pont</w:t>
            </w:r>
          </w:p>
          <w:p w14:paraId="40C3CDF8" w14:textId="77777777" w:rsidR="00D977F3" w:rsidRPr="00B560B3" w:rsidRDefault="00FB2388" w:rsidP="00D35D5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dícséret/különdíj: 3</w:t>
            </w:r>
            <w:r w:rsidR="00D977F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 pont</w:t>
            </w:r>
          </w:p>
          <w:p w14:paraId="32C16FE5" w14:textId="77777777" w:rsidR="00960854" w:rsidRPr="00B560B3" w:rsidRDefault="00960854" w:rsidP="00D35D5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részvétel: 10 pont</w:t>
            </w:r>
          </w:p>
        </w:tc>
        <w:tc>
          <w:tcPr>
            <w:tcW w:w="2287" w:type="dxa"/>
            <w:vMerge w:val="restart"/>
            <w:vAlign w:val="center"/>
          </w:tcPr>
          <w:p w14:paraId="41EE8500" w14:textId="77777777" w:rsidR="00D977F3" w:rsidRPr="004E57A0" w:rsidRDefault="00D977F3" w:rsidP="00D977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Egyéni (egyszerzős) részvétel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esetén az elért pontszám </w:t>
            </w: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1-es szorzó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val bír</w:t>
            </w:r>
            <w:r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;</w:t>
            </w:r>
          </w:p>
          <w:p w14:paraId="76711E8C" w14:textId="77777777" w:rsidR="00D977F3" w:rsidRPr="004E57A0" w:rsidRDefault="00D977F3" w:rsidP="00D977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6CADE0FC" w14:textId="77777777" w:rsidR="00D977F3" w:rsidRPr="00B560B3" w:rsidRDefault="00D977F3" w:rsidP="00D977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Csoportos (többszerzős) részvétel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EB11CB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esetén a szorzó:</w:t>
            </w:r>
          </w:p>
          <w:p w14:paraId="659D14C3" w14:textId="77777777" w:rsidR="00EB11CB" w:rsidRPr="004E57A0" w:rsidRDefault="00AA19DE" w:rsidP="00D977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</w:t>
            </w:r>
            <w:r w:rsidR="00EB11CB"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71 (két szerző), 0,58 (három szerző), 0,5 (négy szerző), 0,45</w:t>
            </w:r>
            <w:r w:rsidR="00AB1420"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(öt</w:t>
            </w:r>
            <w:r w:rsidR="00EB11CB"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vagy több szerző)</w:t>
            </w:r>
          </w:p>
          <w:p w14:paraId="5632685C" w14:textId="77777777" w:rsidR="00D977F3" w:rsidRPr="004E57A0" w:rsidRDefault="00D977F3" w:rsidP="00D977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615" w:type="dxa"/>
          </w:tcPr>
          <w:p w14:paraId="66DA845C" w14:textId="77777777" w:rsidR="00D977F3" w:rsidRPr="00B560B3" w:rsidRDefault="00D977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977F3" w:rsidRPr="00B560B3" w14:paraId="4959CA44" w14:textId="77777777" w:rsidTr="0079094F">
        <w:tc>
          <w:tcPr>
            <w:tcW w:w="2974" w:type="dxa"/>
            <w:vAlign w:val="center"/>
          </w:tcPr>
          <w:p w14:paraId="7CA4CCD9" w14:textId="77777777" w:rsidR="00D977F3" w:rsidRPr="00B560B3" w:rsidRDefault="000F30E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Erdélyi Tudományos Diákköri K</w:t>
            </w:r>
            <w:r w:rsidR="00D977F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onferencia (ETDK)</w:t>
            </w:r>
          </w:p>
        </w:tc>
        <w:tc>
          <w:tcPr>
            <w:tcW w:w="2474" w:type="dxa"/>
            <w:vAlign w:val="center"/>
          </w:tcPr>
          <w:p w14:paraId="59539FD6" w14:textId="77777777" w:rsidR="00D977F3" w:rsidRPr="00B560B3" w:rsidRDefault="00FB2388" w:rsidP="00FF59C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díj: </w:t>
            </w:r>
            <w:r w:rsidR="000271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45</w:t>
            </w:r>
            <w:r w:rsidR="00D977F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  <w:p w14:paraId="7827AA15" w14:textId="77777777" w:rsidR="00D977F3" w:rsidRPr="00B560B3" w:rsidRDefault="002A2EDE" w:rsidP="00FF59C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díj: 35</w:t>
            </w:r>
            <w:r w:rsidR="00D977F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  <w:p w14:paraId="24B4E390" w14:textId="77777777" w:rsidR="00D977F3" w:rsidRPr="00B560B3" w:rsidRDefault="002A2EDE" w:rsidP="00FF59C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III.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díj: 2</w:t>
            </w:r>
            <w:r w:rsidR="00D977F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 pont</w:t>
            </w:r>
          </w:p>
          <w:p w14:paraId="4A8ACF92" w14:textId="77777777" w:rsidR="00D977F3" w:rsidRPr="00B560B3" w:rsidRDefault="002A2EDE" w:rsidP="00FF59C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dícséret/különdíj: 15</w:t>
            </w:r>
            <w:r w:rsidR="00D977F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  <w:p w14:paraId="4A4A0016" w14:textId="77777777" w:rsidR="00960854" w:rsidRPr="00B560B3" w:rsidRDefault="00960854" w:rsidP="0096085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részvétel: 5 pont</w:t>
            </w:r>
          </w:p>
        </w:tc>
        <w:tc>
          <w:tcPr>
            <w:tcW w:w="2287" w:type="dxa"/>
            <w:vMerge/>
            <w:vAlign w:val="center"/>
          </w:tcPr>
          <w:p w14:paraId="13F222FD" w14:textId="77777777" w:rsidR="00D977F3" w:rsidRPr="00B560B3" w:rsidRDefault="00D977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615" w:type="dxa"/>
          </w:tcPr>
          <w:p w14:paraId="4B34F2F7" w14:textId="77777777" w:rsidR="00D977F3" w:rsidRPr="00B560B3" w:rsidRDefault="00D977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977F3" w:rsidRPr="00B560B3" w14:paraId="21BAD87D" w14:textId="77777777" w:rsidTr="0079094F">
        <w:tc>
          <w:tcPr>
            <w:tcW w:w="2974" w:type="dxa"/>
            <w:vAlign w:val="center"/>
          </w:tcPr>
          <w:p w14:paraId="14B1790F" w14:textId="77777777" w:rsidR="00D977F3" w:rsidRPr="00B560B3" w:rsidRDefault="000F30EF" w:rsidP="000F30E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Kari T</w:t>
            </w:r>
            <w:r w:rsidR="00D977F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udományos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Diákköri K</w:t>
            </w:r>
            <w:r w:rsidR="00D977F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onferencia (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</w:t>
            </w:r>
            <w:r w:rsidR="00D977F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TDK)</w:t>
            </w:r>
          </w:p>
        </w:tc>
        <w:tc>
          <w:tcPr>
            <w:tcW w:w="2474" w:type="dxa"/>
            <w:vAlign w:val="center"/>
          </w:tcPr>
          <w:p w14:paraId="777DEC91" w14:textId="77777777" w:rsidR="00D977F3" w:rsidRPr="00B560B3" w:rsidRDefault="00896338" w:rsidP="00FF59C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I. díj: 25</w:t>
            </w:r>
            <w:r w:rsidR="00D977F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  <w:p w14:paraId="34E978C1" w14:textId="77777777" w:rsidR="00D977F3" w:rsidRPr="00B560B3" w:rsidRDefault="00D977F3" w:rsidP="00FF59C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díj: 15 pont</w:t>
            </w:r>
          </w:p>
          <w:p w14:paraId="7BCA442C" w14:textId="77777777" w:rsidR="00D977F3" w:rsidRPr="00B560B3" w:rsidRDefault="00D977F3" w:rsidP="00FF59C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III.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díj: 10 pont</w:t>
            </w:r>
          </w:p>
          <w:p w14:paraId="19A657CE" w14:textId="77777777" w:rsidR="00D977F3" w:rsidRPr="00B560B3" w:rsidRDefault="00D977F3" w:rsidP="00FF59C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dícséret/különdíj: 5 pont</w:t>
            </w:r>
          </w:p>
          <w:p w14:paraId="1D832B37" w14:textId="77777777" w:rsidR="00960854" w:rsidRPr="00B560B3" w:rsidRDefault="00960854" w:rsidP="00FF59C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részvétel: 2 pont</w:t>
            </w:r>
          </w:p>
        </w:tc>
        <w:tc>
          <w:tcPr>
            <w:tcW w:w="2287" w:type="dxa"/>
            <w:vMerge/>
            <w:vAlign w:val="center"/>
          </w:tcPr>
          <w:p w14:paraId="4C1DAB5B" w14:textId="77777777" w:rsidR="00D977F3" w:rsidRPr="00B560B3" w:rsidRDefault="00D977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615" w:type="dxa"/>
          </w:tcPr>
          <w:p w14:paraId="29439BC0" w14:textId="77777777" w:rsidR="00D977F3" w:rsidRPr="00B560B3" w:rsidRDefault="00D977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C4F42" w:rsidRPr="00B560B3" w14:paraId="364456B0" w14:textId="77777777" w:rsidTr="0079094F">
        <w:trPr>
          <w:trHeight w:val="647"/>
        </w:trPr>
        <w:tc>
          <w:tcPr>
            <w:tcW w:w="9350" w:type="dxa"/>
            <w:gridSpan w:val="4"/>
            <w:vAlign w:val="center"/>
          </w:tcPr>
          <w:p w14:paraId="180FEEAE" w14:textId="77777777" w:rsidR="006C4F42" w:rsidRPr="00B560B3" w:rsidRDefault="006C4F42" w:rsidP="00352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470025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TDK-n kívüli más</w:t>
            </w:r>
            <w:r w:rsidR="00205859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  <w:r w:rsidRPr="00470025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diákkonferenciák/szakmai versenyek</w:t>
            </w:r>
          </w:p>
        </w:tc>
      </w:tr>
      <w:tr w:rsidR="00D977F3" w:rsidRPr="004A460E" w14:paraId="674D7772" w14:textId="77777777" w:rsidTr="0079094F">
        <w:tc>
          <w:tcPr>
            <w:tcW w:w="2974" w:type="dxa"/>
            <w:vAlign w:val="center"/>
          </w:tcPr>
          <w:p w14:paraId="76BE70BB" w14:textId="77777777" w:rsidR="00470025" w:rsidRDefault="00470025" w:rsidP="002A2ED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TDK-n kívüli más nemzetközi diákkonferencia</w:t>
            </w:r>
            <w:r w:rsidR="00D977F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</w:t>
            </w:r>
          </w:p>
          <w:p w14:paraId="02F7AB20" w14:textId="77777777" w:rsidR="00AC7981" w:rsidRPr="00B560B3" w:rsidRDefault="00470025" w:rsidP="002A2ED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szakmai verseny</w:t>
            </w:r>
          </w:p>
        </w:tc>
        <w:tc>
          <w:tcPr>
            <w:tcW w:w="2474" w:type="dxa"/>
            <w:vAlign w:val="center"/>
          </w:tcPr>
          <w:p w14:paraId="726CA165" w14:textId="77777777" w:rsidR="00D977F3" w:rsidRPr="00B560B3" w:rsidRDefault="00777C2B" w:rsidP="00352C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díj: 50</w:t>
            </w:r>
            <w:r w:rsidR="00D977F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  <w:p w14:paraId="4C78976E" w14:textId="77777777" w:rsidR="00D977F3" w:rsidRPr="00B560B3" w:rsidRDefault="00D977F3" w:rsidP="00352C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díj: 30 pont</w:t>
            </w:r>
          </w:p>
          <w:p w14:paraId="49562B8E" w14:textId="77777777" w:rsidR="00D977F3" w:rsidRPr="00B560B3" w:rsidRDefault="00D977F3" w:rsidP="00352C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III.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díj: 20 pont</w:t>
            </w:r>
          </w:p>
          <w:p w14:paraId="09D1C333" w14:textId="77777777" w:rsidR="00D977F3" w:rsidRPr="00B560B3" w:rsidRDefault="00D977F3" w:rsidP="00352C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dícséret/különdíj: 15 pont</w:t>
            </w:r>
          </w:p>
          <w:p w14:paraId="4F3A427C" w14:textId="77777777" w:rsidR="00960854" w:rsidRPr="00B560B3" w:rsidRDefault="00960854" w:rsidP="00352C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részvétel: 4 pont</w:t>
            </w:r>
          </w:p>
        </w:tc>
        <w:tc>
          <w:tcPr>
            <w:tcW w:w="2287" w:type="dxa"/>
            <w:vAlign w:val="center"/>
          </w:tcPr>
          <w:p w14:paraId="0915696A" w14:textId="77777777" w:rsidR="00C062D0" w:rsidRPr="004E57A0" w:rsidRDefault="00C062D0" w:rsidP="00C062D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Egyéni (egyszerzős) részvétel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esetén az elért pontszám </w:t>
            </w: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1-es szorzó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val bír</w:t>
            </w:r>
            <w:r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;</w:t>
            </w:r>
          </w:p>
          <w:p w14:paraId="1579BD3C" w14:textId="77777777" w:rsidR="00C062D0" w:rsidRPr="004E57A0" w:rsidRDefault="00C062D0" w:rsidP="00C062D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7A5D6356" w14:textId="77777777" w:rsidR="00C062D0" w:rsidRPr="00B560B3" w:rsidRDefault="00C062D0" w:rsidP="00C062D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Csoportos (többszerzős) részvétel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esetén a szorzó:</w:t>
            </w:r>
          </w:p>
          <w:p w14:paraId="6BB8D173" w14:textId="77777777" w:rsidR="00D977F3" w:rsidRPr="00B560B3" w:rsidRDefault="00AA19DE" w:rsidP="00C062D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</w:t>
            </w:r>
            <w:r w:rsidR="00C062D0"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71 (két szerző), 0,58 (három szerző), 0,5 (négy szerző), 0,45</w:t>
            </w:r>
            <w:r w:rsidR="00AB1420"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(öt</w:t>
            </w:r>
            <w:r w:rsidR="00C062D0"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vagy több szerző)</w:t>
            </w:r>
          </w:p>
        </w:tc>
        <w:tc>
          <w:tcPr>
            <w:tcW w:w="1615" w:type="dxa"/>
          </w:tcPr>
          <w:p w14:paraId="2C4828AE" w14:textId="77777777" w:rsidR="00D977F3" w:rsidRPr="00B560B3" w:rsidRDefault="00D977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21EC4142" w14:textId="1C612FDF" w:rsidR="00CF37C1" w:rsidRDefault="00CF37C1">
      <w:pPr>
        <w:rPr>
          <w:lang w:val="hu-HU"/>
        </w:rPr>
      </w:pPr>
    </w:p>
    <w:p w14:paraId="3F6EE558" w14:textId="77777777" w:rsidR="00470025" w:rsidRPr="004E57A0" w:rsidRDefault="00CF37C1">
      <w:pPr>
        <w:rPr>
          <w:lang w:val="hu-HU"/>
        </w:rPr>
      </w:pPr>
      <w:r>
        <w:rPr>
          <w:lang w:val="hu-HU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2780"/>
        <w:gridCol w:w="2444"/>
        <w:gridCol w:w="1247"/>
      </w:tblGrid>
      <w:tr w:rsidR="00D977F3" w:rsidRPr="004A460E" w14:paraId="06FF9913" w14:textId="77777777" w:rsidTr="00FE60EB">
        <w:tc>
          <w:tcPr>
            <w:tcW w:w="3329" w:type="dxa"/>
          </w:tcPr>
          <w:p w14:paraId="7F904994" w14:textId="77777777" w:rsidR="00470025" w:rsidRDefault="00470025" w:rsidP="00352C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TDK-n kívüli más 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országos/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nemzeti szintű </w:t>
            </w:r>
            <w:r w:rsidR="00D977F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diákkonferencia/</w:t>
            </w:r>
          </w:p>
          <w:p w14:paraId="5D63B357" w14:textId="77777777" w:rsidR="005C68B3" w:rsidRPr="00B560B3" w:rsidRDefault="00470025" w:rsidP="00352C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szakmai </w:t>
            </w:r>
            <w:r w:rsidR="00D977F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verseny</w:t>
            </w:r>
            <w:r w:rsidR="005C68B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14:paraId="54E4051E" w14:textId="77777777" w:rsidR="00D977F3" w:rsidRPr="00B560B3" w:rsidRDefault="00D977F3" w:rsidP="00352C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780" w:type="dxa"/>
          </w:tcPr>
          <w:p w14:paraId="4AA53B0C" w14:textId="77777777" w:rsidR="00D977F3" w:rsidRPr="00B560B3" w:rsidRDefault="00D977F3" w:rsidP="00352C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díj: </w:t>
            </w:r>
            <w:r w:rsidR="00777C2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 pont</w:t>
            </w:r>
          </w:p>
          <w:p w14:paraId="3FD70B75" w14:textId="77777777" w:rsidR="00D977F3" w:rsidRPr="00B560B3" w:rsidRDefault="00D977F3" w:rsidP="00352C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díj: 25 pont</w:t>
            </w:r>
          </w:p>
          <w:p w14:paraId="37DF6803" w14:textId="77777777" w:rsidR="00D977F3" w:rsidRPr="00B560B3" w:rsidRDefault="00D977F3" w:rsidP="00352C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III.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díj: 15 pont</w:t>
            </w:r>
          </w:p>
          <w:p w14:paraId="10A61322" w14:textId="77777777" w:rsidR="00D977F3" w:rsidRPr="00B560B3" w:rsidRDefault="00D977F3" w:rsidP="00352C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dícséret/különdíj: 10 pont</w:t>
            </w:r>
          </w:p>
          <w:p w14:paraId="4E38C33C" w14:textId="77777777" w:rsidR="00960854" w:rsidRPr="00B560B3" w:rsidRDefault="00896338" w:rsidP="00352C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részvétel: 3</w:t>
            </w:r>
            <w:r w:rsidR="00960854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 w:val="restart"/>
          </w:tcPr>
          <w:p w14:paraId="72A6C45D" w14:textId="77777777" w:rsidR="006A35DC" w:rsidRPr="004E57A0" w:rsidRDefault="006A35DC" w:rsidP="006A35D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Egyéni (egyszerzős) részvétel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esetén az elért pontszám </w:t>
            </w: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1-es szorzó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val bír</w:t>
            </w:r>
            <w:r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;</w:t>
            </w:r>
          </w:p>
          <w:p w14:paraId="02C80F63" w14:textId="77777777" w:rsidR="006A35DC" w:rsidRDefault="006A35DC" w:rsidP="006A35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</w:pPr>
          </w:p>
          <w:p w14:paraId="5002F625" w14:textId="77777777" w:rsidR="006A35DC" w:rsidRPr="00B560B3" w:rsidRDefault="006A35DC" w:rsidP="006A35D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Csoportos (többszerzős) részvétel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esetén a szorzó:</w:t>
            </w:r>
          </w:p>
          <w:p w14:paraId="1CA9D797" w14:textId="77777777" w:rsidR="00D977F3" w:rsidRPr="00B560B3" w:rsidRDefault="006A35DC" w:rsidP="006A35D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0,71 (két szerző), 0,58 (három szerző), 0,5 (négy szerző), 0,45 (öt vagy több szerző)</w:t>
            </w:r>
          </w:p>
        </w:tc>
        <w:tc>
          <w:tcPr>
            <w:tcW w:w="1247" w:type="dxa"/>
          </w:tcPr>
          <w:p w14:paraId="3AC086C9" w14:textId="77777777" w:rsidR="00D977F3" w:rsidRPr="00B560B3" w:rsidRDefault="00D977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977F3" w:rsidRPr="00B560B3" w14:paraId="6A7E769F" w14:textId="77777777" w:rsidTr="00FE60EB">
        <w:tc>
          <w:tcPr>
            <w:tcW w:w="3329" w:type="dxa"/>
          </w:tcPr>
          <w:p w14:paraId="16A02F64" w14:textId="77777777" w:rsidR="00D977F3" w:rsidRPr="00B560B3" w:rsidRDefault="00E1495A" w:rsidP="0047002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TDK-n kívüli más</w:t>
            </w:r>
            <w:r w:rsidR="0047002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helyi </w:t>
            </w:r>
            <w:r w:rsidR="00D977F3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szintű szakmai verseny</w:t>
            </w:r>
          </w:p>
        </w:tc>
        <w:tc>
          <w:tcPr>
            <w:tcW w:w="2780" w:type="dxa"/>
            <w:vAlign w:val="center"/>
          </w:tcPr>
          <w:p w14:paraId="1A46DFBB" w14:textId="77777777" w:rsidR="00D977F3" w:rsidRPr="00B560B3" w:rsidRDefault="00D977F3" w:rsidP="006E2DC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díj: 15 pont</w:t>
            </w:r>
          </w:p>
          <w:p w14:paraId="2C01B897" w14:textId="77777777" w:rsidR="00D977F3" w:rsidRPr="00B560B3" w:rsidRDefault="00D977F3" w:rsidP="006E2DC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díj: 10 pont</w:t>
            </w:r>
          </w:p>
          <w:p w14:paraId="59134069" w14:textId="77777777" w:rsidR="00D977F3" w:rsidRPr="00B560B3" w:rsidRDefault="00D977F3" w:rsidP="006E2DC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III.</w:t>
            </w:r>
            <w:r w:rsidR="0089633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díj: 5 pont</w:t>
            </w:r>
          </w:p>
          <w:p w14:paraId="529AE7E4" w14:textId="77777777" w:rsidR="00D977F3" w:rsidRPr="00B560B3" w:rsidRDefault="00D977F3" w:rsidP="006E2DC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dícséret/különdíj: 3 pont</w:t>
            </w:r>
          </w:p>
          <w:p w14:paraId="1BBEF750" w14:textId="77777777" w:rsidR="00960854" w:rsidRPr="00B560B3" w:rsidRDefault="00960854" w:rsidP="0096085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részvétel: 1 pont</w:t>
            </w:r>
          </w:p>
        </w:tc>
        <w:tc>
          <w:tcPr>
            <w:tcW w:w="2444" w:type="dxa"/>
            <w:vMerge/>
            <w:vAlign w:val="center"/>
          </w:tcPr>
          <w:p w14:paraId="0822779B" w14:textId="77777777" w:rsidR="00D977F3" w:rsidRPr="00B560B3" w:rsidRDefault="00D977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</w:tcPr>
          <w:p w14:paraId="2D5329FC" w14:textId="77777777" w:rsidR="00D977F3" w:rsidRPr="00B560B3" w:rsidRDefault="00D977F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C4F42" w:rsidRPr="00B560B3" w14:paraId="6F1A12C5" w14:textId="77777777" w:rsidTr="00FE60EB">
        <w:trPr>
          <w:trHeight w:val="530"/>
        </w:trPr>
        <w:tc>
          <w:tcPr>
            <w:tcW w:w="9800" w:type="dxa"/>
            <w:gridSpan w:val="4"/>
            <w:vAlign w:val="center"/>
          </w:tcPr>
          <w:p w14:paraId="109995F2" w14:textId="77777777" w:rsidR="006C4F42" w:rsidRPr="00B560B3" w:rsidRDefault="006C4F42" w:rsidP="00352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Szakmai konferenciákon való részvétel</w:t>
            </w:r>
          </w:p>
        </w:tc>
      </w:tr>
      <w:tr w:rsidR="00760683" w:rsidRPr="004A460E" w14:paraId="514E62C5" w14:textId="77777777" w:rsidTr="00FE60EB">
        <w:trPr>
          <w:trHeight w:val="350"/>
        </w:trPr>
        <w:tc>
          <w:tcPr>
            <w:tcW w:w="3329" w:type="dxa"/>
            <w:vMerge w:val="restart"/>
            <w:vAlign w:val="center"/>
          </w:tcPr>
          <w:p w14:paraId="564EEFB3" w14:textId="77777777" w:rsidR="00760683" w:rsidRPr="00B560B3" w:rsidRDefault="00760683" w:rsidP="00335F2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Nemzetközi szakmai konferencián való részvétel</w:t>
            </w:r>
          </w:p>
        </w:tc>
        <w:tc>
          <w:tcPr>
            <w:tcW w:w="2780" w:type="dxa"/>
            <w:vAlign w:val="center"/>
          </w:tcPr>
          <w:p w14:paraId="2D4E81AB" w14:textId="77777777" w:rsidR="00760683" w:rsidRPr="00B560B3" w:rsidRDefault="00760683" w:rsidP="006247A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Előadó: 45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 w:val="restart"/>
            <w:vAlign w:val="center"/>
          </w:tcPr>
          <w:p w14:paraId="37D13638" w14:textId="77777777" w:rsidR="00760683" w:rsidRPr="004E57A0" w:rsidRDefault="00760683" w:rsidP="006A35D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Egyéni (egyszerzős) részvétel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esetén az elért pontszám </w:t>
            </w: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1-es szorzó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val bír</w:t>
            </w:r>
            <w:r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;</w:t>
            </w:r>
          </w:p>
          <w:p w14:paraId="7019C58D" w14:textId="77777777" w:rsidR="00760683" w:rsidRDefault="00760683" w:rsidP="006A35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</w:pPr>
          </w:p>
          <w:p w14:paraId="27BCAFCE" w14:textId="77777777" w:rsidR="00760683" w:rsidRPr="00B560B3" w:rsidRDefault="00760683" w:rsidP="006A35D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Csoportos (többszerzős) részvétel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esetén a szorzó:</w:t>
            </w:r>
          </w:p>
          <w:p w14:paraId="0CB135CD" w14:textId="77777777" w:rsidR="00760683" w:rsidRPr="00B560B3" w:rsidRDefault="00760683" w:rsidP="006A35D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0,71 (két szerző), 0,58 (három szerző), 0,5 (négy szerző), 0,45 (öt vagy több szerző)</w:t>
            </w:r>
          </w:p>
          <w:p w14:paraId="0569A349" w14:textId="77777777" w:rsidR="00760683" w:rsidRPr="00B560B3" w:rsidRDefault="00760683" w:rsidP="006A35D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 w:val="restart"/>
          </w:tcPr>
          <w:p w14:paraId="40A9E8A2" w14:textId="77777777" w:rsidR="00760683" w:rsidRPr="00B560B3" w:rsidRDefault="007606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60683" w:rsidRPr="00B560B3" w14:paraId="79943742" w14:textId="77777777" w:rsidTr="00FE60EB">
        <w:tc>
          <w:tcPr>
            <w:tcW w:w="3329" w:type="dxa"/>
            <w:vMerge/>
            <w:vAlign w:val="center"/>
          </w:tcPr>
          <w:p w14:paraId="47300A30" w14:textId="77777777" w:rsidR="00760683" w:rsidRPr="00B560B3" w:rsidRDefault="00760683" w:rsidP="00335F2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780" w:type="dxa"/>
            <w:vAlign w:val="center"/>
          </w:tcPr>
          <w:p w14:paraId="1903BF7D" w14:textId="77777777" w:rsidR="00760683" w:rsidRPr="00B560B3" w:rsidRDefault="00760683" w:rsidP="006247A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Társszerző: 35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/>
          </w:tcPr>
          <w:p w14:paraId="3FD5CF0A" w14:textId="77777777" w:rsidR="00760683" w:rsidRPr="00B560B3" w:rsidRDefault="00760683" w:rsidP="00BF6F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/>
          </w:tcPr>
          <w:p w14:paraId="0874880E" w14:textId="77777777" w:rsidR="00760683" w:rsidRPr="00B560B3" w:rsidRDefault="007606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60683" w:rsidRPr="00B560B3" w14:paraId="4104675B" w14:textId="77777777" w:rsidTr="00FE60EB">
        <w:trPr>
          <w:trHeight w:val="332"/>
        </w:trPr>
        <w:tc>
          <w:tcPr>
            <w:tcW w:w="3329" w:type="dxa"/>
            <w:vMerge w:val="restart"/>
            <w:vAlign w:val="center"/>
          </w:tcPr>
          <w:p w14:paraId="4618C554" w14:textId="77777777" w:rsidR="00760683" w:rsidRPr="00B560B3" w:rsidRDefault="00760683" w:rsidP="00335F2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Országos szintű szakmai konferencián való részvétel</w:t>
            </w:r>
          </w:p>
        </w:tc>
        <w:tc>
          <w:tcPr>
            <w:tcW w:w="2780" w:type="dxa"/>
            <w:vAlign w:val="center"/>
          </w:tcPr>
          <w:p w14:paraId="3F570627" w14:textId="77777777" w:rsidR="00760683" w:rsidRPr="00B560B3" w:rsidRDefault="00760683" w:rsidP="00DB5AB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Előadó: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35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/>
          </w:tcPr>
          <w:p w14:paraId="0893C975" w14:textId="77777777" w:rsidR="00760683" w:rsidRPr="00B560B3" w:rsidRDefault="00760683" w:rsidP="00BF6F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 w:val="restart"/>
          </w:tcPr>
          <w:p w14:paraId="28A44554" w14:textId="77777777" w:rsidR="00760683" w:rsidRPr="00B560B3" w:rsidRDefault="007606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60683" w:rsidRPr="00B560B3" w14:paraId="41C3D9B7" w14:textId="77777777" w:rsidTr="00FE60EB">
        <w:trPr>
          <w:trHeight w:val="215"/>
        </w:trPr>
        <w:tc>
          <w:tcPr>
            <w:tcW w:w="3329" w:type="dxa"/>
            <w:vMerge/>
            <w:vAlign w:val="center"/>
          </w:tcPr>
          <w:p w14:paraId="60FDDE9B" w14:textId="77777777" w:rsidR="00760683" w:rsidRPr="00B560B3" w:rsidRDefault="00760683" w:rsidP="00335F2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780" w:type="dxa"/>
            <w:vAlign w:val="center"/>
          </w:tcPr>
          <w:p w14:paraId="0651C444" w14:textId="77777777" w:rsidR="00760683" w:rsidRPr="00B560B3" w:rsidRDefault="00760683" w:rsidP="006247A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Társszerző: 25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/>
          </w:tcPr>
          <w:p w14:paraId="09E32405" w14:textId="77777777" w:rsidR="00760683" w:rsidRPr="00B560B3" w:rsidRDefault="00760683" w:rsidP="00BF6F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/>
          </w:tcPr>
          <w:p w14:paraId="69E999F2" w14:textId="77777777" w:rsidR="00760683" w:rsidRPr="00B560B3" w:rsidRDefault="007606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60683" w:rsidRPr="00B560B3" w14:paraId="06B41509" w14:textId="77777777" w:rsidTr="00FE60EB">
        <w:trPr>
          <w:trHeight w:val="332"/>
        </w:trPr>
        <w:tc>
          <w:tcPr>
            <w:tcW w:w="3329" w:type="dxa"/>
            <w:vMerge w:val="restart"/>
            <w:vAlign w:val="center"/>
          </w:tcPr>
          <w:p w14:paraId="1184248A" w14:textId="77777777" w:rsidR="00760683" w:rsidRPr="00B560B3" w:rsidRDefault="00760683" w:rsidP="00335F2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Helyi/regionális szintű konferencia</w:t>
            </w:r>
          </w:p>
        </w:tc>
        <w:tc>
          <w:tcPr>
            <w:tcW w:w="2780" w:type="dxa"/>
            <w:vAlign w:val="center"/>
          </w:tcPr>
          <w:p w14:paraId="157A7A8F" w14:textId="77777777" w:rsidR="00760683" w:rsidRPr="00B560B3" w:rsidRDefault="00760683" w:rsidP="006247A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Előadó: 2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 pont</w:t>
            </w:r>
          </w:p>
        </w:tc>
        <w:tc>
          <w:tcPr>
            <w:tcW w:w="2444" w:type="dxa"/>
            <w:vMerge/>
          </w:tcPr>
          <w:p w14:paraId="16BC6AD0" w14:textId="77777777" w:rsidR="00760683" w:rsidRPr="00B560B3" w:rsidRDefault="00760683" w:rsidP="00BF6F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 w:val="restart"/>
          </w:tcPr>
          <w:p w14:paraId="555A5D24" w14:textId="77777777" w:rsidR="00760683" w:rsidRPr="00B560B3" w:rsidRDefault="007606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60683" w:rsidRPr="00B560B3" w14:paraId="52799A31" w14:textId="77777777" w:rsidTr="00FE60EB">
        <w:trPr>
          <w:trHeight w:val="350"/>
        </w:trPr>
        <w:tc>
          <w:tcPr>
            <w:tcW w:w="3329" w:type="dxa"/>
            <w:vMerge/>
            <w:vAlign w:val="center"/>
          </w:tcPr>
          <w:p w14:paraId="45979D69" w14:textId="77777777" w:rsidR="00760683" w:rsidRPr="00B560B3" w:rsidRDefault="00760683" w:rsidP="00335F2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780" w:type="dxa"/>
            <w:vAlign w:val="center"/>
          </w:tcPr>
          <w:p w14:paraId="647EA640" w14:textId="77777777" w:rsidR="00760683" w:rsidRPr="00B560B3" w:rsidRDefault="00760683" w:rsidP="006247A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Társszerző: 10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/>
          </w:tcPr>
          <w:p w14:paraId="69BCCEAC" w14:textId="77777777" w:rsidR="00760683" w:rsidRPr="00B560B3" w:rsidRDefault="00760683" w:rsidP="00BF6F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/>
          </w:tcPr>
          <w:p w14:paraId="0B518C22" w14:textId="77777777" w:rsidR="00760683" w:rsidRPr="00B560B3" w:rsidRDefault="007606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60683" w:rsidRPr="00B560B3" w14:paraId="7CA0734B" w14:textId="77777777" w:rsidTr="00FE60EB">
        <w:trPr>
          <w:trHeight w:val="350"/>
        </w:trPr>
        <w:tc>
          <w:tcPr>
            <w:tcW w:w="3329" w:type="dxa"/>
            <w:vMerge w:val="restart"/>
            <w:vAlign w:val="center"/>
          </w:tcPr>
          <w:p w14:paraId="1E1D193A" w14:textId="77777777" w:rsidR="00760683" w:rsidRPr="00B560B3" w:rsidRDefault="00760683" w:rsidP="00C062D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Nemzetközi szakmai konferencián bemutatott poszter</w:t>
            </w:r>
          </w:p>
        </w:tc>
        <w:tc>
          <w:tcPr>
            <w:tcW w:w="2780" w:type="dxa"/>
            <w:vAlign w:val="center"/>
          </w:tcPr>
          <w:p w14:paraId="5D5D8E3A" w14:textId="77777777" w:rsidR="00760683" w:rsidRPr="00B560B3" w:rsidRDefault="00760683" w:rsidP="00DB5AB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Előadó: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35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/>
          </w:tcPr>
          <w:p w14:paraId="69261DD6" w14:textId="77777777" w:rsidR="00760683" w:rsidRPr="00B560B3" w:rsidRDefault="00760683" w:rsidP="00BF6F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 w:val="restart"/>
          </w:tcPr>
          <w:p w14:paraId="7653819E" w14:textId="77777777" w:rsidR="00760683" w:rsidRPr="00B560B3" w:rsidRDefault="007606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60683" w:rsidRPr="00B560B3" w14:paraId="018265E1" w14:textId="77777777" w:rsidTr="00FE60EB">
        <w:trPr>
          <w:trHeight w:val="350"/>
        </w:trPr>
        <w:tc>
          <w:tcPr>
            <w:tcW w:w="3329" w:type="dxa"/>
            <w:vMerge/>
            <w:vAlign w:val="center"/>
          </w:tcPr>
          <w:p w14:paraId="32740FD7" w14:textId="77777777" w:rsidR="00760683" w:rsidRPr="00B560B3" w:rsidRDefault="00760683" w:rsidP="00335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780" w:type="dxa"/>
            <w:vAlign w:val="center"/>
          </w:tcPr>
          <w:p w14:paraId="29906DDE" w14:textId="77777777" w:rsidR="00760683" w:rsidRPr="00B560B3" w:rsidRDefault="00760683" w:rsidP="006247A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Társszerző: 25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/>
          </w:tcPr>
          <w:p w14:paraId="24D3B16C" w14:textId="77777777" w:rsidR="00760683" w:rsidRPr="00B560B3" w:rsidRDefault="00760683" w:rsidP="00BF6F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/>
          </w:tcPr>
          <w:p w14:paraId="684A328E" w14:textId="77777777" w:rsidR="00760683" w:rsidRPr="00B560B3" w:rsidRDefault="007606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60683" w:rsidRPr="00B560B3" w14:paraId="543E1CEB" w14:textId="77777777" w:rsidTr="00760683">
        <w:trPr>
          <w:trHeight w:val="359"/>
        </w:trPr>
        <w:tc>
          <w:tcPr>
            <w:tcW w:w="3329" w:type="dxa"/>
            <w:vMerge w:val="restart"/>
            <w:vAlign w:val="center"/>
          </w:tcPr>
          <w:p w14:paraId="028B189F" w14:textId="77777777" w:rsidR="00760683" w:rsidRPr="00B560B3" w:rsidRDefault="00760683" w:rsidP="00AE4E4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Országos szintű szakmai konferencián bemutatott poszter</w:t>
            </w:r>
          </w:p>
        </w:tc>
        <w:tc>
          <w:tcPr>
            <w:tcW w:w="2780" w:type="dxa"/>
            <w:vAlign w:val="center"/>
          </w:tcPr>
          <w:p w14:paraId="2D3C41DD" w14:textId="77777777" w:rsidR="00760683" w:rsidRPr="00B560B3" w:rsidRDefault="00760683" w:rsidP="007606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Előadó: 30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/>
          </w:tcPr>
          <w:p w14:paraId="7BB77FCD" w14:textId="77777777" w:rsidR="00760683" w:rsidRPr="00B560B3" w:rsidRDefault="00760683" w:rsidP="00BF6F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 w:val="restart"/>
          </w:tcPr>
          <w:p w14:paraId="49AEDC16" w14:textId="77777777" w:rsidR="00760683" w:rsidRPr="00B560B3" w:rsidRDefault="007606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60683" w:rsidRPr="00B560B3" w14:paraId="6D15FB3D" w14:textId="77777777" w:rsidTr="00FE60EB">
        <w:trPr>
          <w:trHeight w:val="440"/>
        </w:trPr>
        <w:tc>
          <w:tcPr>
            <w:tcW w:w="3329" w:type="dxa"/>
            <w:vMerge/>
          </w:tcPr>
          <w:p w14:paraId="6DE856E8" w14:textId="77777777" w:rsidR="00760683" w:rsidRPr="00B560B3" w:rsidRDefault="00760683" w:rsidP="00125E6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780" w:type="dxa"/>
            <w:vAlign w:val="center"/>
          </w:tcPr>
          <w:p w14:paraId="055B05EF" w14:textId="77777777" w:rsidR="00760683" w:rsidRPr="00B560B3" w:rsidRDefault="00760683" w:rsidP="007606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Társszerző: 20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/>
          </w:tcPr>
          <w:p w14:paraId="0FFF5AD9" w14:textId="77777777" w:rsidR="00760683" w:rsidRPr="00B560B3" w:rsidRDefault="007606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/>
          </w:tcPr>
          <w:p w14:paraId="524CF313" w14:textId="77777777" w:rsidR="00760683" w:rsidRPr="00B560B3" w:rsidRDefault="0076068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60683" w:rsidRPr="00B560B3" w14:paraId="181BF655" w14:textId="77777777" w:rsidTr="00760683">
        <w:trPr>
          <w:trHeight w:val="359"/>
        </w:trPr>
        <w:tc>
          <w:tcPr>
            <w:tcW w:w="3329" w:type="dxa"/>
            <w:vMerge w:val="restart"/>
            <w:vAlign w:val="center"/>
          </w:tcPr>
          <w:p w14:paraId="7F543D1B" w14:textId="77777777" w:rsidR="00760683" w:rsidRPr="00B560B3" w:rsidRDefault="00760683" w:rsidP="00760683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Helyi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szintű szakmai konferencián bemutatott poszter</w:t>
            </w:r>
          </w:p>
        </w:tc>
        <w:tc>
          <w:tcPr>
            <w:tcW w:w="2780" w:type="dxa"/>
            <w:vAlign w:val="center"/>
          </w:tcPr>
          <w:p w14:paraId="5DB92F04" w14:textId="77777777" w:rsidR="00760683" w:rsidRPr="00B560B3" w:rsidRDefault="00760683" w:rsidP="00760683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Előadó: 20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/>
            <w:vAlign w:val="center"/>
          </w:tcPr>
          <w:p w14:paraId="244D902F" w14:textId="77777777" w:rsidR="00760683" w:rsidRPr="00B560B3" w:rsidRDefault="00760683" w:rsidP="00760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Align w:val="center"/>
          </w:tcPr>
          <w:p w14:paraId="4EA12BD9" w14:textId="77777777" w:rsidR="00760683" w:rsidRPr="00B560B3" w:rsidRDefault="00760683" w:rsidP="00760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760683" w:rsidRPr="00B560B3" w14:paraId="1D528069" w14:textId="77777777" w:rsidTr="00760683">
        <w:trPr>
          <w:trHeight w:val="251"/>
        </w:trPr>
        <w:tc>
          <w:tcPr>
            <w:tcW w:w="3329" w:type="dxa"/>
            <w:vMerge/>
            <w:vAlign w:val="center"/>
          </w:tcPr>
          <w:p w14:paraId="03C5CDD6" w14:textId="77777777" w:rsidR="00760683" w:rsidRDefault="00760683" w:rsidP="00760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780" w:type="dxa"/>
            <w:vAlign w:val="center"/>
          </w:tcPr>
          <w:p w14:paraId="56762BA2" w14:textId="77777777" w:rsidR="00760683" w:rsidRPr="00B560B3" w:rsidRDefault="00760683" w:rsidP="00760683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Társszerző: 10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/>
            <w:vAlign w:val="center"/>
          </w:tcPr>
          <w:p w14:paraId="0E74DC17" w14:textId="77777777" w:rsidR="00760683" w:rsidRPr="00B560B3" w:rsidRDefault="00760683" w:rsidP="00760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Align w:val="center"/>
          </w:tcPr>
          <w:p w14:paraId="342C29F6" w14:textId="77777777" w:rsidR="00760683" w:rsidRPr="00B560B3" w:rsidRDefault="00760683" w:rsidP="00760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6C4F42" w:rsidRPr="00B560B3" w14:paraId="1D83DE0E" w14:textId="77777777" w:rsidTr="00FE60EB">
        <w:trPr>
          <w:trHeight w:val="512"/>
        </w:trPr>
        <w:tc>
          <w:tcPr>
            <w:tcW w:w="9800" w:type="dxa"/>
            <w:gridSpan w:val="4"/>
            <w:vAlign w:val="center"/>
          </w:tcPr>
          <w:p w14:paraId="0114FEE9" w14:textId="77777777" w:rsidR="006C4F42" w:rsidRPr="00B560B3" w:rsidRDefault="006C4F42" w:rsidP="00616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Publikációk</w:t>
            </w:r>
          </w:p>
        </w:tc>
      </w:tr>
      <w:tr w:rsidR="002C18C7" w:rsidRPr="004A460E" w14:paraId="4A09A082" w14:textId="77777777" w:rsidTr="00FE60EB">
        <w:tc>
          <w:tcPr>
            <w:tcW w:w="3329" w:type="dxa"/>
            <w:vMerge w:val="restart"/>
          </w:tcPr>
          <w:p w14:paraId="66EA7568" w14:textId="77777777" w:rsidR="002C18C7" w:rsidRPr="00B560B3" w:rsidRDefault="002C18C7" w:rsidP="005412A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ISI pontszámmal rendelkező folyóiratban</w:t>
            </w:r>
          </w:p>
        </w:tc>
        <w:tc>
          <w:tcPr>
            <w:tcW w:w="2780" w:type="dxa"/>
            <w:vAlign w:val="center"/>
          </w:tcPr>
          <w:p w14:paraId="4BA71692" w14:textId="77777777" w:rsidR="002C18C7" w:rsidRPr="00B560B3" w:rsidRDefault="002C18C7" w:rsidP="000271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Főszerző: </w:t>
            </w:r>
            <w:r w:rsidR="000271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100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 w:val="restart"/>
          </w:tcPr>
          <w:p w14:paraId="6419C3E4" w14:textId="77777777" w:rsidR="002C18C7" w:rsidRPr="004E57A0" w:rsidRDefault="002C18C7" w:rsidP="00EB11C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 xml:space="preserve">Egy szerző 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esetén az elért pontszám </w:t>
            </w: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1-es szorzó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val bír</w:t>
            </w:r>
            <w:r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;</w:t>
            </w:r>
          </w:p>
          <w:p w14:paraId="4B7CEE66" w14:textId="77777777" w:rsidR="002C18C7" w:rsidRPr="004E57A0" w:rsidRDefault="002C18C7" w:rsidP="00EB11C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12D2A077" w14:textId="77777777" w:rsidR="002C18C7" w:rsidRDefault="002C18C7" w:rsidP="006A35D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Csoportos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 xml:space="preserve"> </w:t>
            </w: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részvétel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esetén a szorzó:</w:t>
            </w:r>
          </w:p>
          <w:p w14:paraId="3562ADCD" w14:textId="77777777" w:rsidR="002C18C7" w:rsidRPr="004E57A0" w:rsidRDefault="002C18C7" w:rsidP="006A35D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0,71 (két szerző), 0,58 (három szerző), 0,5 (négy szerző), 0,45 (öt vagy több szerző)</w:t>
            </w:r>
          </w:p>
          <w:p w14:paraId="25B270A2" w14:textId="77777777" w:rsidR="002C18C7" w:rsidRPr="004E57A0" w:rsidRDefault="002C18C7" w:rsidP="006A35D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Egyéni (egyszerzős) részvétel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esetén az elért pontszám </w:t>
            </w:r>
            <w:r w:rsidRPr="00B56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1-es szorzó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val bír</w:t>
            </w:r>
            <w:r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;</w:t>
            </w:r>
          </w:p>
          <w:p w14:paraId="4997C48D" w14:textId="77777777" w:rsidR="002C18C7" w:rsidRPr="004E57A0" w:rsidRDefault="002C18C7" w:rsidP="0017568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E21CA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lastRenderedPageBreak/>
              <w:t xml:space="preserve">Egy szerző </w:t>
            </w:r>
            <w:r w:rsidRPr="001E21C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esetén az elért pontszám </w:t>
            </w:r>
            <w:r w:rsidRPr="001E21CA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1-es szorzó</w:t>
            </w:r>
            <w:r w:rsidRPr="001E21C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val bír</w:t>
            </w:r>
            <w:r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;</w:t>
            </w:r>
          </w:p>
          <w:p w14:paraId="5E5C3CEC" w14:textId="77777777" w:rsidR="002C18C7" w:rsidRPr="004E57A0" w:rsidRDefault="002C18C7" w:rsidP="0017568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139A1290" w14:textId="77777777" w:rsidR="002C18C7" w:rsidRPr="001E21CA" w:rsidRDefault="002C18C7" w:rsidP="0017568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E21CA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Csoportos részvétel</w:t>
            </w:r>
            <w:r w:rsidRPr="001E21C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esetén a szorzó:</w:t>
            </w:r>
          </w:p>
          <w:p w14:paraId="18C6D636" w14:textId="77777777" w:rsidR="002C18C7" w:rsidRPr="004E57A0" w:rsidRDefault="002C18C7" w:rsidP="0017568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0,71 (két szerző), 0,58 (három szerző), 0,5 (négy szerző), 0,45 (öt vagy több szerző)</w:t>
            </w:r>
          </w:p>
          <w:p w14:paraId="1F149C6D" w14:textId="77777777" w:rsidR="002C18C7" w:rsidRPr="00B560B3" w:rsidRDefault="002C18C7" w:rsidP="007363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E21CA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Egyéni (egyszerzős) részvétel</w:t>
            </w:r>
            <w:r w:rsidRPr="001E21C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esetén az elért pontszám </w:t>
            </w:r>
            <w:r w:rsidRPr="001E21CA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1-es szorzó</w:t>
            </w:r>
            <w:r w:rsidRPr="001E21C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val bír</w:t>
            </w:r>
            <w:r w:rsidRPr="004E57A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;</w:t>
            </w:r>
          </w:p>
        </w:tc>
        <w:tc>
          <w:tcPr>
            <w:tcW w:w="1247" w:type="dxa"/>
            <w:vMerge w:val="restart"/>
          </w:tcPr>
          <w:p w14:paraId="74C1CE06" w14:textId="77777777" w:rsidR="002C18C7" w:rsidRPr="00B560B3" w:rsidRDefault="002C18C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C18C7" w:rsidRPr="00B560B3" w14:paraId="29E7C5B0" w14:textId="77777777" w:rsidTr="00FE60EB">
        <w:tc>
          <w:tcPr>
            <w:tcW w:w="3329" w:type="dxa"/>
            <w:vMerge/>
          </w:tcPr>
          <w:p w14:paraId="6E5F7D74" w14:textId="77777777" w:rsidR="002C18C7" w:rsidRPr="00B560B3" w:rsidRDefault="002C18C7" w:rsidP="005412AC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780" w:type="dxa"/>
            <w:vAlign w:val="center"/>
          </w:tcPr>
          <w:p w14:paraId="605CD05D" w14:textId="77777777" w:rsidR="002C18C7" w:rsidRDefault="002C18C7" w:rsidP="0002716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Társszerző: </w:t>
            </w:r>
            <w:r w:rsidR="000271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80</w:t>
            </w:r>
          </w:p>
        </w:tc>
        <w:tc>
          <w:tcPr>
            <w:tcW w:w="2444" w:type="dxa"/>
            <w:vMerge/>
          </w:tcPr>
          <w:p w14:paraId="63B25820" w14:textId="77777777" w:rsidR="002C18C7" w:rsidRPr="00B560B3" w:rsidRDefault="002C18C7" w:rsidP="007363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/>
          </w:tcPr>
          <w:p w14:paraId="4BEBA362" w14:textId="77777777" w:rsidR="002C18C7" w:rsidRPr="00B560B3" w:rsidRDefault="002C18C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C18C7" w:rsidRPr="00B560B3" w14:paraId="24006512" w14:textId="77777777" w:rsidTr="00FE60EB">
        <w:trPr>
          <w:trHeight w:val="413"/>
        </w:trPr>
        <w:tc>
          <w:tcPr>
            <w:tcW w:w="3329" w:type="dxa"/>
            <w:vMerge w:val="restart"/>
          </w:tcPr>
          <w:p w14:paraId="3B97B7AC" w14:textId="77777777" w:rsidR="002C18C7" w:rsidRPr="00B560B3" w:rsidRDefault="002C18C7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Nemzetközi adatbázisban jegyzett szakmai folyóiratban</w:t>
            </w:r>
          </w:p>
        </w:tc>
        <w:tc>
          <w:tcPr>
            <w:tcW w:w="2780" w:type="dxa"/>
            <w:vAlign w:val="center"/>
          </w:tcPr>
          <w:p w14:paraId="466E06F1" w14:textId="77777777" w:rsidR="002C18C7" w:rsidRPr="00B560B3" w:rsidRDefault="00DD10ED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Főszerző: 8</w:t>
            </w:r>
            <w:r w:rsidR="002C18C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  <w:r w:rsidR="002C18C7"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/>
          </w:tcPr>
          <w:p w14:paraId="060D3401" w14:textId="77777777" w:rsidR="002C18C7" w:rsidRPr="00B560B3" w:rsidRDefault="002C18C7" w:rsidP="007363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 w:val="restart"/>
          </w:tcPr>
          <w:p w14:paraId="4390C5C8" w14:textId="77777777" w:rsidR="002C18C7" w:rsidRPr="00B560B3" w:rsidRDefault="002C18C7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C18C7" w:rsidRPr="00B560B3" w14:paraId="4A7ED29D" w14:textId="77777777" w:rsidTr="00FE60EB">
        <w:tc>
          <w:tcPr>
            <w:tcW w:w="3329" w:type="dxa"/>
            <w:vMerge/>
          </w:tcPr>
          <w:p w14:paraId="3E322E18" w14:textId="77777777" w:rsidR="002C18C7" w:rsidRPr="00B560B3" w:rsidRDefault="002C18C7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780" w:type="dxa"/>
            <w:vAlign w:val="center"/>
          </w:tcPr>
          <w:p w14:paraId="261F1E4B" w14:textId="77777777" w:rsidR="002C18C7" w:rsidRDefault="002C18C7" w:rsidP="00DD10E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Társszerző: </w:t>
            </w:r>
            <w:r w:rsidR="00DD10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60</w:t>
            </w:r>
          </w:p>
        </w:tc>
        <w:tc>
          <w:tcPr>
            <w:tcW w:w="2444" w:type="dxa"/>
            <w:vMerge/>
          </w:tcPr>
          <w:p w14:paraId="12D9F957" w14:textId="77777777" w:rsidR="002C18C7" w:rsidRPr="00B560B3" w:rsidRDefault="002C18C7" w:rsidP="007363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/>
          </w:tcPr>
          <w:p w14:paraId="4F3F4D21" w14:textId="77777777" w:rsidR="002C18C7" w:rsidRPr="00B560B3" w:rsidRDefault="002C18C7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C18C7" w:rsidRPr="00B560B3" w14:paraId="01225DF3" w14:textId="77777777" w:rsidTr="00FE60EB">
        <w:trPr>
          <w:trHeight w:val="467"/>
        </w:trPr>
        <w:tc>
          <w:tcPr>
            <w:tcW w:w="3329" w:type="dxa"/>
            <w:vMerge w:val="restart"/>
          </w:tcPr>
          <w:p w14:paraId="7E62B2E3" w14:textId="77777777" w:rsidR="002C18C7" w:rsidRPr="00B560B3" w:rsidRDefault="002C18C7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CNCSIS által elismert referált szakmai folyóiratban</w:t>
            </w:r>
          </w:p>
        </w:tc>
        <w:tc>
          <w:tcPr>
            <w:tcW w:w="2780" w:type="dxa"/>
            <w:vAlign w:val="center"/>
          </w:tcPr>
          <w:p w14:paraId="2B75B736" w14:textId="77777777" w:rsidR="002C18C7" w:rsidRPr="00B560B3" w:rsidRDefault="002C18C7" w:rsidP="00DD10E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Főszerző: </w:t>
            </w:r>
            <w:r w:rsidR="00DD10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60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/>
          </w:tcPr>
          <w:p w14:paraId="5E025920" w14:textId="77777777" w:rsidR="002C18C7" w:rsidRPr="00B560B3" w:rsidRDefault="002C18C7" w:rsidP="007363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 w:val="restart"/>
          </w:tcPr>
          <w:p w14:paraId="1B21F78B" w14:textId="77777777" w:rsidR="002C18C7" w:rsidRPr="00B560B3" w:rsidRDefault="002C18C7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C18C7" w:rsidRPr="00B560B3" w14:paraId="4088D5FF" w14:textId="77777777" w:rsidTr="00FE60EB">
        <w:tc>
          <w:tcPr>
            <w:tcW w:w="3329" w:type="dxa"/>
            <w:vMerge/>
          </w:tcPr>
          <w:p w14:paraId="1E7AED93" w14:textId="77777777" w:rsidR="002C18C7" w:rsidRPr="00B560B3" w:rsidRDefault="002C18C7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780" w:type="dxa"/>
            <w:vAlign w:val="center"/>
          </w:tcPr>
          <w:p w14:paraId="6CF8E004" w14:textId="77777777" w:rsidR="002C18C7" w:rsidRDefault="002C18C7" w:rsidP="00DD10E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Társszerző: </w:t>
            </w:r>
            <w:r w:rsidR="00BD2C8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</w:t>
            </w:r>
            <w:r w:rsidR="00DD10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</w:p>
        </w:tc>
        <w:tc>
          <w:tcPr>
            <w:tcW w:w="2444" w:type="dxa"/>
            <w:vMerge/>
          </w:tcPr>
          <w:p w14:paraId="22B6E6F7" w14:textId="77777777" w:rsidR="002C18C7" w:rsidRPr="00B560B3" w:rsidRDefault="002C18C7" w:rsidP="007363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/>
          </w:tcPr>
          <w:p w14:paraId="5DC74402" w14:textId="77777777" w:rsidR="002C18C7" w:rsidRPr="00B560B3" w:rsidRDefault="002C18C7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C18C7" w:rsidRPr="00B560B3" w14:paraId="3BC0D7F3" w14:textId="77777777" w:rsidTr="00FE60EB">
        <w:tc>
          <w:tcPr>
            <w:tcW w:w="3329" w:type="dxa"/>
            <w:vMerge w:val="restart"/>
          </w:tcPr>
          <w:p w14:paraId="5C86663C" w14:textId="77777777" w:rsidR="002C18C7" w:rsidRPr="00B560B3" w:rsidRDefault="002C18C7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Más referált szakmai folyóiratban</w:t>
            </w:r>
          </w:p>
        </w:tc>
        <w:tc>
          <w:tcPr>
            <w:tcW w:w="2780" w:type="dxa"/>
            <w:vAlign w:val="center"/>
          </w:tcPr>
          <w:p w14:paraId="2B0CFA65" w14:textId="77777777" w:rsidR="002C18C7" w:rsidRPr="00B560B3" w:rsidRDefault="002C18C7" w:rsidP="00BD2C8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Főszerző: </w:t>
            </w:r>
            <w:r w:rsidR="00BD2C8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40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/>
          </w:tcPr>
          <w:p w14:paraId="2BEEAC11" w14:textId="77777777" w:rsidR="002C18C7" w:rsidRPr="00B560B3" w:rsidRDefault="002C18C7" w:rsidP="007363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 w:val="restart"/>
          </w:tcPr>
          <w:p w14:paraId="7E4BC491" w14:textId="77777777" w:rsidR="002C18C7" w:rsidRPr="00B560B3" w:rsidRDefault="002C18C7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C18C7" w:rsidRPr="00B560B3" w14:paraId="58BC152C" w14:textId="77777777" w:rsidTr="00FE60EB">
        <w:tc>
          <w:tcPr>
            <w:tcW w:w="3329" w:type="dxa"/>
            <w:vMerge/>
          </w:tcPr>
          <w:p w14:paraId="7029670E" w14:textId="77777777" w:rsidR="002C18C7" w:rsidRPr="00B560B3" w:rsidRDefault="002C18C7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780" w:type="dxa"/>
            <w:vAlign w:val="center"/>
          </w:tcPr>
          <w:p w14:paraId="7F6385DC" w14:textId="77777777" w:rsidR="002C18C7" w:rsidRDefault="00DD10ED" w:rsidP="00BD2C8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Társszerző: </w:t>
            </w:r>
            <w:r w:rsidR="00BD2C8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30</w:t>
            </w:r>
          </w:p>
        </w:tc>
        <w:tc>
          <w:tcPr>
            <w:tcW w:w="2444" w:type="dxa"/>
            <w:vMerge/>
          </w:tcPr>
          <w:p w14:paraId="281339D7" w14:textId="77777777" w:rsidR="002C18C7" w:rsidRPr="00B560B3" w:rsidRDefault="002C18C7" w:rsidP="007363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/>
          </w:tcPr>
          <w:p w14:paraId="049EBCC2" w14:textId="77777777" w:rsidR="002C18C7" w:rsidRPr="00B560B3" w:rsidRDefault="002C18C7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C18C7" w:rsidRPr="00B560B3" w14:paraId="71AD00DF" w14:textId="77777777" w:rsidTr="00FE60EB">
        <w:tc>
          <w:tcPr>
            <w:tcW w:w="3329" w:type="dxa"/>
            <w:vMerge w:val="restart"/>
          </w:tcPr>
          <w:p w14:paraId="428529C0" w14:textId="77777777" w:rsidR="002C18C7" w:rsidRPr="00B560B3" w:rsidRDefault="002C18C7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Más nem referált szakmai folyóiratban</w:t>
            </w:r>
          </w:p>
        </w:tc>
        <w:tc>
          <w:tcPr>
            <w:tcW w:w="2780" w:type="dxa"/>
            <w:vAlign w:val="center"/>
          </w:tcPr>
          <w:p w14:paraId="099F92C1" w14:textId="77777777" w:rsidR="002C18C7" w:rsidRPr="00B560B3" w:rsidRDefault="002C18C7" w:rsidP="00DD10E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Főszerző: </w:t>
            </w:r>
            <w:r w:rsidR="00DD10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/>
          </w:tcPr>
          <w:p w14:paraId="49CDAE16" w14:textId="77777777" w:rsidR="002C18C7" w:rsidRPr="00B560B3" w:rsidRDefault="002C18C7" w:rsidP="007363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 w:val="restart"/>
          </w:tcPr>
          <w:p w14:paraId="729C4FC4" w14:textId="77777777" w:rsidR="002C18C7" w:rsidRPr="00B560B3" w:rsidRDefault="002C18C7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C18C7" w:rsidRPr="00B560B3" w14:paraId="7B3E5EBF" w14:textId="77777777" w:rsidTr="00FE60EB">
        <w:tc>
          <w:tcPr>
            <w:tcW w:w="3329" w:type="dxa"/>
            <w:vMerge/>
          </w:tcPr>
          <w:p w14:paraId="15074FCB" w14:textId="77777777" w:rsidR="002C18C7" w:rsidRPr="00B560B3" w:rsidRDefault="002C18C7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780" w:type="dxa"/>
            <w:vAlign w:val="center"/>
          </w:tcPr>
          <w:p w14:paraId="548CDE0F" w14:textId="77777777" w:rsidR="002C18C7" w:rsidRDefault="00DD10ED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Társszerző: 15</w:t>
            </w:r>
          </w:p>
        </w:tc>
        <w:tc>
          <w:tcPr>
            <w:tcW w:w="2444" w:type="dxa"/>
            <w:vMerge/>
          </w:tcPr>
          <w:p w14:paraId="3B2FD1F2" w14:textId="77777777" w:rsidR="002C18C7" w:rsidRPr="00B560B3" w:rsidRDefault="002C18C7" w:rsidP="007363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Merge/>
          </w:tcPr>
          <w:p w14:paraId="34960B5B" w14:textId="77777777" w:rsidR="002C18C7" w:rsidRPr="00B560B3" w:rsidRDefault="002C18C7" w:rsidP="006C4F4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C18C7" w:rsidRPr="00B560B3" w14:paraId="756E369B" w14:textId="77777777" w:rsidTr="00FE60EB">
        <w:trPr>
          <w:trHeight w:val="557"/>
        </w:trPr>
        <w:tc>
          <w:tcPr>
            <w:tcW w:w="3329" w:type="dxa"/>
            <w:vMerge w:val="restart"/>
          </w:tcPr>
          <w:p w14:paraId="22C5CA89" w14:textId="77777777" w:rsidR="002C18C7" w:rsidRDefault="002C18C7" w:rsidP="00414B7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14B7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Nemzetközileg elismert hazai és kül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földi tudományos konferencia kötetében megjelent kivonat</w:t>
            </w:r>
          </w:p>
        </w:tc>
        <w:tc>
          <w:tcPr>
            <w:tcW w:w="2780" w:type="dxa"/>
            <w:vAlign w:val="center"/>
          </w:tcPr>
          <w:p w14:paraId="18F7BB12" w14:textId="77777777" w:rsidR="002C18C7" w:rsidRPr="00B560B3" w:rsidRDefault="002C18C7" w:rsidP="004C3D5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Főszerző: </w:t>
            </w:r>
            <w:r w:rsidR="004C3D5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25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/>
          </w:tcPr>
          <w:p w14:paraId="72D05816" w14:textId="77777777" w:rsidR="002C18C7" w:rsidRPr="00B560B3" w:rsidRDefault="002C18C7" w:rsidP="007363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</w:tcPr>
          <w:p w14:paraId="3DD026D3" w14:textId="77777777" w:rsidR="002C18C7" w:rsidRPr="00B560B3" w:rsidRDefault="002C18C7" w:rsidP="00414B7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C18C7" w:rsidRPr="00B560B3" w14:paraId="09C4F7E6" w14:textId="77777777" w:rsidTr="00FE60EB">
        <w:tc>
          <w:tcPr>
            <w:tcW w:w="3329" w:type="dxa"/>
            <w:vMerge/>
          </w:tcPr>
          <w:p w14:paraId="2031BCDD" w14:textId="77777777" w:rsidR="002C18C7" w:rsidRPr="00B560B3" w:rsidRDefault="002C18C7" w:rsidP="00414B7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780" w:type="dxa"/>
            <w:vAlign w:val="center"/>
          </w:tcPr>
          <w:p w14:paraId="2F273B22" w14:textId="77777777" w:rsidR="002C18C7" w:rsidRDefault="002C18C7" w:rsidP="004C3D5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Társszerző: </w:t>
            </w:r>
            <w:r w:rsidR="004C3D5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</w:t>
            </w:r>
          </w:p>
        </w:tc>
        <w:tc>
          <w:tcPr>
            <w:tcW w:w="2444" w:type="dxa"/>
            <w:vMerge/>
          </w:tcPr>
          <w:p w14:paraId="0F1460D2" w14:textId="77777777" w:rsidR="002C18C7" w:rsidRPr="00B560B3" w:rsidRDefault="002C18C7" w:rsidP="007363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</w:tcPr>
          <w:p w14:paraId="1BD3071F" w14:textId="77777777" w:rsidR="002C18C7" w:rsidRPr="00B560B3" w:rsidRDefault="002C18C7" w:rsidP="00414B7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C18C7" w:rsidRPr="00B560B3" w14:paraId="5ACBE4CF" w14:textId="77777777" w:rsidTr="00FE60EB">
        <w:trPr>
          <w:trHeight w:val="440"/>
        </w:trPr>
        <w:tc>
          <w:tcPr>
            <w:tcW w:w="3329" w:type="dxa"/>
            <w:vMerge w:val="restart"/>
          </w:tcPr>
          <w:p w14:paraId="6466D88B" w14:textId="77777777" w:rsidR="002C18C7" w:rsidRPr="00B560B3" w:rsidRDefault="004C3D50" w:rsidP="004C3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Regionális/h</w:t>
            </w:r>
            <w:r w:rsidR="002C18C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elyi jelentőségű tudományos konferencia kötetében megjelent kivonat</w:t>
            </w:r>
          </w:p>
        </w:tc>
        <w:tc>
          <w:tcPr>
            <w:tcW w:w="2780" w:type="dxa"/>
            <w:vAlign w:val="center"/>
          </w:tcPr>
          <w:p w14:paraId="588E29DB" w14:textId="77777777" w:rsidR="002C18C7" w:rsidRPr="00B560B3" w:rsidRDefault="002C18C7" w:rsidP="00414B7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</w:t>
            </w:r>
            <w:r w:rsidR="004C3D5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őszerző: 15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Merge/>
          </w:tcPr>
          <w:p w14:paraId="60E89CD6" w14:textId="77777777" w:rsidR="002C18C7" w:rsidRPr="00B560B3" w:rsidRDefault="002C18C7" w:rsidP="007363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</w:tcPr>
          <w:p w14:paraId="56D59542" w14:textId="77777777" w:rsidR="002C18C7" w:rsidRPr="00B560B3" w:rsidRDefault="002C18C7" w:rsidP="00414B7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C18C7" w:rsidRPr="00B560B3" w14:paraId="46BDA102" w14:textId="77777777" w:rsidTr="00FE60EB">
        <w:tc>
          <w:tcPr>
            <w:tcW w:w="3329" w:type="dxa"/>
            <w:vMerge/>
          </w:tcPr>
          <w:p w14:paraId="5B15BF40" w14:textId="77777777" w:rsidR="002C18C7" w:rsidRDefault="002C18C7" w:rsidP="00414B7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780" w:type="dxa"/>
            <w:vAlign w:val="center"/>
          </w:tcPr>
          <w:p w14:paraId="6C56E339" w14:textId="77777777" w:rsidR="002C18C7" w:rsidRDefault="004C3D50" w:rsidP="00414B7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Társszerző: 10</w:t>
            </w:r>
          </w:p>
        </w:tc>
        <w:tc>
          <w:tcPr>
            <w:tcW w:w="2444" w:type="dxa"/>
            <w:vMerge/>
          </w:tcPr>
          <w:p w14:paraId="5C57EDE7" w14:textId="77777777" w:rsidR="002C18C7" w:rsidRPr="00B560B3" w:rsidRDefault="002C18C7" w:rsidP="007363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</w:tcPr>
          <w:p w14:paraId="344E9BD9" w14:textId="77777777" w:rsidR="002C18C7" w:rsidRPr="00B560B3" w:rsidRDefault="002C18C7" w:rsidP="00414B7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C18C7" w:rsidRPr="00B560B3" w14:paraId="0A357410" w14:textId="77777777" w:rsidTr="00FE60EB">
        <w:tc>
          <w:tcPr>
            <w:tcW w:w="3329" w:type="dxa"/>
            <w:vAlign w:val="center"/>
          </w:tcPr>
          <w:p w14:paraId="73D6A702" w14:textId="77777777" w:rsidR="002C18C7" w:rsidRPr="00B560B3" w:rsidRDefault="002C1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nyv</w:t>
            </w:r>
            <w:proofErr w:type="spellEnd"/>
          </w:p>
        </w:tc>
        <w:tc>
          <w:tcPr>
            <w:tcW w:w="2780" w:type="dxa"/>
            <w:vAlign w:val="center"/>
          </w:tcPr>
          <w:p w14:paraId="0CD1FD67" w14:textId="77777777" w:rsidR="002C18C7" w:rsidRPr="00B560B3" w:rsidRDefault="002C18C7" w:rsidP="006247A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Teljes könyv: 50 pont</w:t>
            </w:r>
          </w:p>
          <w:p w14:paraId="6EF30DB0" w14:textId="77777777" w:rsidR="002C18C7" w:rsidRDefault="002C18C7" w:rsidP="006247A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7D611EC2" w14:textId="77777777" w:rsidR="002C18C7" w:rsidRPr="00B560B3" w:rsidRDefault="002C18C7" w:rsidP="006247A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11E5E234" w14:textId="77777777" w:rsidR="002C18C7" w:rsidRPr="00B560B3" w:rsidRDefault="002C18C7" w:rsidP="006247A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Könyvfejezet: 25 pont</w:t>
            </w:r>
          </w:p>
        </w:tc>
        <w:tc>
          <w:tcPr>
            <w:tcW w:w="2444" w:type="dxa"/>
            <w:vMerge/>
          </w:tcPr>
          <w:p w14:paraId="3B23A3C2" w14:textId="77777777" w:rsidR="002C18C7" w:rsidRPr="00B560B3" w:rsidRDefault="002C18C7" w:rsidP="007363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</w:tcPr>
          <w:p w14:paraId="614E0C29" w14:textId="77777777" w:rsidR="002C18C7" w:rsidRPr="00B560B3" w:rsidRDefault="002C18C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C18C7" w:rsidRPr="001E21CA" w14:paraId="7E2F5B6D" w14:textId="77777777" w:rsidTr="00FE60EB">
        <w:tc>
          <w:tcPr>
            <w:tcW w:w="3329" w:type="dxa"/>
            <w:vAlign w:val="center"/>
          </w:tcPr>
          <w:p w14:paraId="3FB24442" w14:textId="77777777" w:rsidR="002C18C7" w:rsidRPr="001E21CA" w:rsidRDefault="002C18C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E21C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Tudományos igényű filmterv</w:t>
            </w:r>
            <w:r w:rsidR="000D69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</w:t>
            </w:r>
            <w:r w:rsidRPr="001E21C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készítés</w:t>
            </w:r>
          </w:p>
        </w:tc>
        <w:tc>
          <w:tcPr>
            <w:tcW w:w="2780" w:type="dxa"/>
            <w:vAlign w:val="center"/>
          </w:tcPr>
          <w:p w14:paraId="34F16587" w14:textId="77777777" w:rsidR="002C18C7" w:rsidRPr="001E21CA" w:rsidRDefault="002C18C7" w:rsidP="00113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E21C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 pont</w:t>
            </w:r>
          </w:p>
        </w:tc>
        <w:tc>
          <w:tcPr>
            <w:tcW w:w="2444" w:type="dxa"/>
            <w:vMerge/>
          </w:tcPr>
          <w:p w14:paraId="2BD0C5CF" w14:textId="77777777" w:rsidR="002C18C7" w:rsidRPr="001E21CA" w:rsidRDefault="002C18C7" w:rsidP="0073638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</w:tcPr>
          <w:p w14:paraId="034160E8" w14:textId="77777777" w:rsidR="002C18C7" w:rsidRPr="001E21CA" w:rsidRDefault="002C18C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03DF4" w:rsidRPr="001E21CA" w14:paraId="19DC122A" w14:textId="77777777" w:rsidTr="00FE60EB">
        <w:tc>
          <w:tcPr>
            <w:tcW w:w="3329" w:type="dxa"/>
            <w:vAlign w:val="center"/>
          </w:tcPr>
          <w:p w14:paraId="79D358D0" w14:textId="77777777" w:rsidR="00603DF4" w:rsidRPr="001E21CA" w:rsidRDefault="00603D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Nemzetközi jelentőségű </w:t>
            </w:r>
            <w:r w:rsidR="00EB7A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kutatási ösztöndíj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(pl. </w:t>
            </w:r>
            <w:r w:rsidRPr="00603DF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Collegium Talentum</w:t>
            </w:r>
            <w:r w:rsidR="00B8576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r w:rsidR="00B85761" w:rsidRPr="00B8576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Nemzet Fiatal Tehetségeiért Ösztöndíj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2780" w:type="dxa"/>
            <w:vAlign w:val="center"/>
          </w:tcPr>
          <w:p w14:paraId="3C0309D7" w14:textId="77777777" w:rsidR="00603DF4" w:rsidRPr="001E21CA" w:rsidRDefault="008C3FBD" w:rsidP="00113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50</w:t>
            </w:r>
            <w:r w:rsidR="000F6B9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</w:tcPr>
          <w:p w14:paraId="5B9D54B2" w14:textId="77777777" w:rsidR="00603DF4" w:rsidRPr="001E21CA" w:rsidRDefault="00603DF4" w:rsidP="001756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</w:tcPr>
          <w:p w14:paraId="3DC71777" w14:textId="77777777" w:rsidR="00603DF4" w:rsidRPr="001E21CA" w:rsidRDefault="00603D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03DF4" w:rsidRPr="001E21CA" w14:paraId="5AD6B990" w14:textId="77777777" w:rsidTr="00FE60EB">
        <w:tc>
          <w:tcPr>
            <w:tcW w:w="3329" w:type="dxa"/>
            <w:vAlign w:val="center"/>
          </w:tcPr>
          <w:p w14:paraId="2AB1983F" w14:textId="6DDF285D" w:rsidR="00603DF4" w:rsidRPr="001E21CA" w:rsidRDefault="00603DF4" w:rsidP="00603D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Országos/nemzeti jelentőségű </w:t>
            </w:r>
            <w:r w:rsidR="00EB7A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kutatási ösztöndíj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</w:t>
            </w:r>
            <w:r w:rsidR="00CF37C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pl. Székely Előfutár Ösztöndíj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2780" w:type="dxa"/>
            <w:vAlign w:val="center"/>
          </w:tcPr>
          <w:p w14:paraId="7A2A6B32" w14:textId="77777777" w:rsidR="00603DF4" w:rsidRPr="001E21CA" w:rsidRDefault="000F6B95" w:rsidP="00113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40 pont</w:t>
            </w:r>
          </w:p>
        </w:tc>
        <w:tc>
          <w:tcPr>
            <w:tcW w:w="2444" w:type="dxa"/>
          </w:tcPr>
          <w:p w14:paraId="485F53DA" w14:textId="77777777" w:rsidR="00603DF4" w:rsidRPr="001E21CA" w:rsidRDefault="00603DF4" w:rsidP="001756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</w:tcPr>
          <w:p w14:paraId="0C20A140" w14:textId="77777777" w:rsidR="00603DF4" w:rsidRPr="001E21CA" w:rsidRDefault="00603D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03DF4" w:rsidRPr="001E21CA" w14:paraId="37CEEEC1" w14:textId="77777777" w:rsidTr="00FE60EB">
        <w:tc>
          <w:tcPr>
            <w:tcW w:w="3329" w:type="dxa"/>
            <w:vAlign w:val="center"/>
          </w:tcPr>
          <w:p w14:paraId="7A99B4AE" w14:textId="77777777" w:rsidR="00603DF4" w:rsidRPr="001E21CA" w:rsidRDefault="00603D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Helyi jelentőségű </w:t>
            </w:r>
            <w:r w:rsidR="00EB7A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kutatási ösztöndíj</w:t>
            </w:r>
          </w:p>
        </w:tc>
        <w:tc>
          <w:tcPr>
            <w:tcW w:w="2780" w:type="dxa"/>
            <w:vAlign w:val="center"/>
          </w:tcPr>
          <w:p w14:paraId="75B58293" w14:textId="77777777" w:rsidR="00603DF4" w:rsidRPr="001E21CA" w:rsidRDefault="000F6B95" w:rsidP="00113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 pont</w:t>
            </w:r>
          </w:p>
        </w:tc>
        <w:tc>
          <w:tcPr>
            <w:tcW w:w="2444" w:type="dxa"/>
          </w:tcPr>
          <w:p w14:paraId="4F5F3BE9" w14:textId="77777777" w:rsidR="00603DF4" w:rsidRPr="001E21CA" w:rsidRDefault="00603DF4" w:rsidP="001756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</w:tcPr>
          <w:p w14:paraId="138A32E3" w14:textId="77777777" w:rsidR="00603DF4" w:rsidRPr="001E21CA" w:rsidRDefault="00603DF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9094F" w:rsidRPr="00B560B3" w14:paraId="54EA9B66" w14:textId="77777777" w:rsidTr="00FE60EB">
        <w:trPr>
          <w:trHeight w:val="530"/>
        </w:trPr>
        <w:tc>
          <w:tcPr>
            <w:tcW w:w="9800" w:type="dxa"/>
            <w:gridSpan w:val="4"/>
          </w:tcPr>
          <w:p w14:paraId="18AA361C" w14:textId="77777777" w:rsidR="0079094F" w:rsidRPr="00B560B3" w:rsidRDefault="0079094F" w:rsidP="00790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Kutatási projektekben való hivatalos részvétel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(szerződésben történő nevesítéssel)</w:t>
            </w:r>
          </w:p>
        </w:tc>
      </w:tr>
      <w:tr w:rsidR="0043311D" w:rsidRPr="00B560B3" w14:paraId="17A0B46C" w14:textId="77777777" w:rsidTr="00FE60EB">
        <w:tc>
          <w:tcPr>
            <w:tcW w:w="3329" w:type="dxa"/>
          </w:tcPr>
          <w:p w14:paraId="47587FFB" w14:textId="77777777" w:rsidR="0043311D" w:rsidRPr="00B560B3" w:rsidRDefault="0079094F" w:rsidP="0079094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Nemzetközi jelentőségű kutatási pályázat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ban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való részvétel</w:t>
            </w:r>
          </w:p>
        </w:tc>
        <w:tc>
          <w:tcPr>
            <w:tcW w:w="2780" w:type="dxa"/>
          </w:tcPr>
          <w:p w14:paraId="2932978D" w14:textId="77777777" w:rsidR="0043311D" w:rsidRPr="00B560B3" w:rsidRDefault="0043311D" w:rsidP="002A2ED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14ECCE1F" w14:textId="77777777" w:rsidR="0043311D" w:rsidRPr="00B560B3" w:rsidRDefault="0043311D" w:rsidP="0079094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Kutató tag: </w:t>
            </w:r>
            <w:r w:rsidR="0079094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25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</w:tcPr>
          <w:p w14:paraId="5BAC4331" w14:textId="77777777" w:rsidR="0043311D" w:rsidRPr="00B560B3" w:rsidRDefault="0043311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</w:tcPr>
          <w:p w14:paraId="7A9A9706" w14:textId="77777777" w:rsidR="0043311D" w:rsidRPr="00B560B3" w:rsidRDefault="0043311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14B7F" w:rsidRPr="00B560B3" w14:paraId="3DF56CA8" w14:textId="77777777" w:rsidTr="00FE60EB">
        <w:tc>
          <w:tcPr>
            <w:tcW w:w="3329" w:type="dxa"/>
            <w:vAlign w:val="center"/>
          </w:tcPr>
          <w:p w14:paraId="0B3654CD" w14:textId="77777777" w:rsidR="00414B7F" w:rsidRPr="00B560B3" w:rsidRDefault="0079094F" w:rsidP="008B344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Országos jelentőségű kutatási pályázat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ban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való részvétel</w:t>
            </w:r>
          </w:p>
        </w:tc>
        <w:tc>
          <w:tcPr>
            <w:tcW w:w="2780" w:type="dxa"/>
            <w:vAlign w:val="center"/>
          </w:tcPr>
          <w:p w14:paraId="3E5FED7A" w14:textId="77777777" w:rsidR="00414B7F" w:rsidRPr="00B560B3" w:rsidRDefault="0079094F" w:rsidP="0079094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Kutató tag: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pont</w:t>
            </w:r>
          </w:p>
        </w:tc>
        <w:tc>
          <w:tcPr>
            <w:tcW w:w="2444" w:type="dxa"/>
            <w:vAlign w:val="center"/>
          </w:tcPr>
          <w:p w14:paraId="01263339" w14:textId="77777777" w:rsidR="00414B7F" w:rsidRPr="00B560B3" w:rsidRDefault="00414B7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Align w:val="center"/>
          </w:tcPr>
          <w:p w14:paraId="3187B347" w14:textId="77777777" w:rsidR="00414B7F" w:rsidRPr="00B560B3" w:rsidRDefault="00414B7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14B7F" w:rsidRPr="00B560B3" w14:paraId="07220FF7" w14:textId="77777777" w:rsidTr="006844F7">
        <w:trPr>
          <w:trHeight w:val="422"/>
        </w:trPr>
        <w:tc>
          <w:tcPr>
            <w:tcW w:w="3329" w:type="dxa"/>
            <w:vAlign w:val="center"/>
          </w:tcPr>
          <w:p w14:paraId="0B56416A" w14:textId="77777777" w:rsidR="00414B7F" w:rsidRPr="00B560B3" w:rsidRDefault="0079094F" w:rsidP="008B344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KPI pályázat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ban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való részvétel</w:t>
            </w:r>
          </w:p>
        </w:tc>
        <w:tc>
          <w:tcPr>
            <w:tcW w:w="2780" w:type="dxa"/>
            <w:vAlign w:val="center"/>
          </w:tcPr>
          <w:p w14:paraId="0718292C" w14:textId="77777777" w:rsidR="00414B7F" w:rsidRPr="00B560B3" w:rsidRDefault="0079094F" w:rsidP="002A2ED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Kutató tag: 15 pont</w:t>
            </w:r>
          </w:p>
        </w:tc>
        <w:tc>
          <w:tcPr>
            <w:tcW w:w="2444" w:type="dxa"/>
            <w:vAlign w:val="center"/>
          </w:tcPr>
          <w:p w14:paraId="44F03029" w14:textId="77777777" w:rsidR="00414B7F" w:rsidRPr="00B560B3" w:rsidRDefault="00414B7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Align w:val="center"/>
          </w:tcPr>
          <w:p w14:paraId="4D74710E" w14:textId="77777777" w:rsidR="00414B7F" w:rsidRPr="00B560B3" w:rsidRDefault="00414B7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1312D" w:rsidRPr="00B560B3" w14:paraId="1559DD65" w14:textId="77777777" w:rsidTr="006844F7">
        <w:trPr>
          <w:trHeight w:val="422"/>
        </w:trPr>
        <w:tc>
          <w:tcPr>
            <w:tcW w:w="3329" w:type="dxa"/>
            <w:vAlign w:val="center"/>
          </w:tcPr>
          <w:p w14:paraId="40CB1D18" w14:textId="77777777" w:rsidR="0011312D" w:rsidRDefault="00FD02C2" w:rsidP="00FD02C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Megbízásos (önkormányzat, ipari partner stb.) kutatásokban való részvétel</w:t>
            </w:r>
          </w:p>
        </w:tc>
        <w:tc>
          <w:tcPr>
            <w:tcW w:w="2780" w:type="dxa"/>
            <w:vAlign w:val="center"/>
          </w:tcPr>
          <w:p w14:paraId="4B27FB8F" w14:textId="77777777" w:rsidR="0011312D" w:rsidRPr="00B560B3" w:rsidRDefault="0062149F" w:rsidP="002A2ED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Kutató tag: 15 pont</w:t>
            </w:r>
          </w:p>
        </w:tc>
        <w:tc>
          <w:tcPr>
            <w:tcW w:w="2444" w:type="dxa"/>
            <w:vAlign w:val="center"/>
          </w:tcPr>
          <w:p w14:paraId="57EA6E9F" w14:textId="77777777" w:rsidR="0011312D" w:rsidRPr="00B560B3" w:rsidRDefault="001131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47" w:type="dxa"/>
            <w:vAlign w:val="center"/>
          </w:tcPr>
          <w:p w14:paraId="57A2A326" w14:textId="77777777" w:rsidR="0011312D" w:rsidRPr="00B560B3" w:rsidRDefault="0011312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C94049" w:rsidRPr="004A460E" w14:paraId="0958F124" w14:textId="77777777" w:rsidTr="00953461">
        <w:trPr>
          <w:trHeight w:val="422"/>
        </w:trPr>
        <w:tc>
          <w:tcPr>
            <w:tcW w:w="3329" w:type="dxa"/>
          </w:tcPr>
          <w:p w14:paraId="338F3772" w14:textId="77777777" w:rsidR="00C94049" w:rsidRDefault="00C94049" w:rsidP="0062149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Más szakmai megvalósítás</w:t>
            </w:r>
          </w:p>
        </w:tc>
        <w:tc>
          <w:tcPr>
            <w:tcW w:w="5224" w:type="dxa"/>
            <w:gridSpan w:val="2"/>
          </w:tcPr>
          <w:p w14:paraId="184EDC65" w14:textId="36967164" w:rsidR="00C94049" w:rsidRPr="00B560B3" w:rsidRDefault="00C94049" w:rsidP="004E72C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Maximum 15 pont a mentor tanár írásbeli javaslatára és indoklásával, és</w:t>
            </w:r>
            <w:r w:rsidR="00F0518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az</w:t>
            </w:r>
            <w:r w:rsidRPr="00B560B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4E72C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KTB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jóváhagyásával</w:t>
            </w:r>
          </w:p>
        </w:tc>
        <w:tc>
          <w:tcPr>
            <w:tcW w:w="1247" w:type="dxa"/>
            <w:vAlign w:val="center"/>
          </w:tcPr>
          <w:p w14:paraId="2469C936" w14:textId="77777777" w:rsidR="00C94049" w:rsidRPr="00B560B3" w:rsidRDefault="00C94049" w:rsidP="0062149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66A6B2F3" w14:textId="77777777" w:rsidR="009239E2" w:rsidRDefault="009239E2" w:rsidP="009239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39BA357D" w14:textId="7537E304" w:rsidR="00956EF4" w:rsidRDefault="00495942" w:rsidP="00956E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Csíkszereda, 2017</w:t>
      </w:r>
      <w:r w:rsidR="00CF37C1">
        <w:rPr>
          <w:rFonts w:ascii="Times New Roman" w:hAnsi="Times New Roman" w:cs="Times New Roman"/>
          <w:sz w:val="24"/>
          <w:szCs w:val="24"/>
          <w:lang w:val="hu-HU"/>
        </w:rPr>
        <w:t>.05.02</w:t>
      </w:r>
      <w:r w:rsidR="00956EF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37A2DC18" w14:textId="77777777" w:rsidR="00956EF4" w:rsidRDefault="00956EF4" w:rsidP="00956E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</w:p>
    <w:p w14:paraId="7DE25CD5" w14:textId="77777777" w:rsidR="00956EF4" w:rsidRPr="00956EF4" w:rsidRDefault="00956EF4" w:rsidP="00956EF4">
      <w:pPr>
        <w:spacing w:after="0" w:line="240" w:lineRule="auto"/>
        <w:ind w:left="7020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956EF4">
        <w:rPr>
          <w:rFonts w:ascii="Times New Roman" w:hAnsi="Times New Roman" w:cs="Times New Roman"/>
          <w:i/>
          <w:sz w:val="24"/>
          <w:szCs w:val="24"/>
          <w:lang w:val="hu-HU"/>
        </w:rPr>
        <w:t>Dr. Máthé István</w:t>
      </w:r>
    </w:p>
    <w:p w14:paraId="70104898" w14:textId="7B2EDAA7" w:rsidR="00956EF4" w:rsidRPr="00046267" w:rsidRDefault="00956EF4" w:rsidP="00556C97">
      <w:pPr>
        <w:spacing w:after="0" w:line="240" w:lineRule="auto"/>
        <w:ind w:left="639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Csíkszeredai Kar</w:t>
      </w:r>
      <w:r w:rsidR="009239E2">
        <w:rPr>
          <w:rFonts w:ascii="Times New Roman" w:hAnsi="Times New Roman" w:cs="Times New Roman"/>
          <w:sz w:val="24"/>
          <w:szCs w:val="24"/>
          <w:lang w:val="hu-HU"/>
        </w:rPr>
        <w:t xml:space="preserve"> Tehetséggondozó Bizottság</w:t>
      </w:r>
      <w:r w:rsidR="004E72CA">
        <w:rPr>
          <w:rFonts w:ascii="Times New Roman" w:hAnsi="Times New Roman" w:cs="Times New Roman"/>
          <w:sz w:val="24"/>
          <w:szCs w:val="24"/>
          <w:lang w:val="hu-HU"/>
        </w:rPr>
        <w:t>ának</w:t>
      </w:r>
      <w:r w:rsidR="009239E2">
        <w:rPr>
          <w:rFonts w:ascii="Times New Roman" w:hAnsi="Times New Roman" w:cs="Times New Roman"/>
          <w:sz w:val="24"/>
          <w:szCs w:val="24"/>
          <w:lang w:val="hu-HU"/>
        </w:rPr>
        <w:t xml:space="preserve"> elnöke</w:t>
      </w:r>
    </w:p>
    <w:sectPr w:rsidR="00956EF4" w:rsidRPr="00046267" w:rsidSect="002F53C5">
      <w:pgSz w:w="12240" w:h="15840"/>
      <w:pgMar w:top="1170" w:right="126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3B0B"/>
    <w:multiLevelType w:val="hybridMultilevel"/>
    <w:tmpl w:val="81F88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5C2"/>
    <w:multiLevelType w:val="hybridMultilevel"/>
    <w:tmpl w:val="E3861DAA"/>
    <w:lvl w:ilvl="0" w:tplc="2E281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EB1"/>
    <w:multiLevelType w:val="hybridMultilevel"/>
    <w:tmpl w:val="D200E3BC"/>
    <w:lvl w:ilvl="0" w:tplc="4E36DD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B166C"/>
    <w:multiLevelType w:val="hybridMultilevel"/>
    <w:tmpl w:val="3BEAF3F8"/>
    <w:lvl w:ilvl="0" w:tplc="9424B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92F47"/>
    <w:multiLevelType w:val="hybridMultilevel"/>
    <w:tmpl w:val="C62C3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67"/>
    <w:rsid w:val="0002716E"/>
    <w:rsid w:val="00046267"/>
    <w:rsid w:val="00057028"/>
    <w:rsid w:val="0006618C"/>
    <w:rsid w:val="00072620"/>
    <w:rsid w:val="0008502D"/>
    <w:rsid w:val="000927B6"/>
    <w:rsid w:val="000B5F3E"/>
    <w:rsid w:val="000C2C53"/>
    <w:rsid w:val="000C467B"/>
    <w:rsid w:val="000C5A59"/>
    <w:rsid w:val="000D6907"/>
    <w:rsid w:val="000F30EF"/>
    <w:rsid w:val="000F6B95"/>
    <w:rsid w:val="00105F5D"/>
    <w:rsid w:val="00112FDD"/>
    <w:rsid w:val="0011312D"/>
    <w:rsid w:val="00114573"/>
    <w:rsid w:val="00144B7F"/>
    <w:rsid w:val="00166AF5"/>
    <w:rsid w:val="001712C9"/>
    <w:rsid w:val="00172C2F"/>
    <w:rsid w:val="00175686"/>
    <w:rsid w:val="00183232"/>
    <w:rsid w:val="00190CF9"/>
    <w:rsid w:val="001927F6"/>
    <w:rsid w:val="00196BC5"/>
    <w:rsid w:val="00197C0E"/>
    <w:rsid w:val="001B02F1"/>
    <w:rsid w:val="001B0D1D"/>
    <w:rsid w:val="001C250E"/>
    <w:rsid w:val="001D45A8"/>
    <w:rsid w:val="001E21CA"/>
    <w:rsid w:val="00205090"/>
    <w:rsid w:val="00205859"/>
    <w:rsid w:val="00212932"/>
    <w:rsid w:val="00230044"/>
    <w:rsid w:val="00245B66"/>
    <w:rsid w:val="00262E4C"/>
    <w:rsid w:val="002706FE"/>
    <w:rsid w:val="00282FBE"/>
    <w:rsid w:val="00290E1C"/>
    <w:rsid w:val="002921AB"/>
    <w:rsid w:val="00294E09"/>
    <w:rsid w:val="002970AD"/>
    <w:rsid w:val="002A209D"/>
    <w:rsid w:val="002A2EDE"/>
    <w:rsid w:val="002B3B4C"/>
    <w:rsid w:val="002C18C7"/>
    <w:rsid w:val="002C3929"/>
    <w:rsid w:val="002D040A"/>
    <w:rsid w:val="002D29E8"/>
    <w:rsid w:val="002D62EE"/>
    <w:rsid w:val="002E3C0B"/>
    <w:rsid w:val="002F53C5"/>
    <w:rsid w:val="00317674"/>
    <w:rsid w:val="00325A3C"/>
    <w:rsid w:val="00335DFA"/>
    <w:rsid w:val="00335F23"/>
    <w:rsid w:val="0033679F"/>
    <w:rsid w:val="00352C1B"/>
    <w:rsid w:val="003631E7"/>
    <w:rsid w:val="00366B05"/>
    <w:rsid w:val="00367748"/>
    <w:rsid w:val="003938AD"/>
    <w:rsid w:val="003A1481"/>
    <w:rsid w:val="003D017A"/>
    <w:rsid w:val="003E432E"/>
    <w:rsid w:val="003E68FE"/>
    <w:rsid w:val="004071A8"/>
    <w:rsid w:val="00414B7F"/>
    <w:rsid w:val="0043311D"/>
    <w:rsid w:val="00451E93"/>
    <w:rsid w:val="00470025"/>
    <w:rsid w:val="0048277F"/>
    <w:rsid w:val="00495942"/>
    <w:rsid w:val="004A460E"/>
    <w:rsid w:val="004B413E"/>
    <w:rsid w:val="004C3A75"/>
    <w:rsid w:val="004C3D50"/>
    <w:rsid w:val="004E57A0"/>
    <w:rsid w:val="004E72CA"/>
    <w:rsid w:val="004E7F2D"/>
    <w:rsid w:val="004F59A9"/>
    <w:rsid w:val="004F664B"/>
    <w:rsid w:val="00505B95"/>
    <w:rsid w:val="005102B5"/>
    <w:rsid w:val="00516376"/>
    <w:rsid w:val="00524497"/>
    <w:rsid w:val="005412AC"/>
    <w:rsid w:val="0054364C"/>
    <w:rsid w:val="0054683C"/>
    <w:rsid w:val="00556C97"/>
    <w:rsid w:val="00562138"/>
    <w:rsid w:val="005621C1"/>
    <w:rsid w:val="00564051"/>
    <w:rsid w:val="00566852"/>
    <w:rsid w:val="0056714B"/>
    <w:rsid w:val="00573196"/>
    <w:rsid w:val="0057325A"/>
    <w:rsid w:val="00583A11"/>
    <w:rsid w:val="00594DCD"/>
    <w:rsid w:val="005C68B3"/>
    <w:rsid w:val="005C6F96"/>
    <w:rsid w:val="005C73EC"/>
    <w:rsid w:val="005D2CC5"/>
    <w:rsid w:val="005F09E2"/>
    <w:rsid w:val="00603DF4"/>
    <w:rsid w:val="006165DA"/>
    <w:rsid w:val="0061761A"/>
    <w:rsid w:val="0062149F"/>
    <w:rsid w:val="006247A7"/>
    <w:rsid w:val="006403CA"/>
    <w:rsid w:val="006474BE"/>
    <w:rsid w:val="00654007"/>
    <w:rsid w:val="006844F7"/>
    <w:rsid w:val="00694361"/>
    <w:rsid w:val="006A35DC"/>
    <w:rsid w:val="006B2A57"/>
    <w:rsid w:val="006C4F42"/>
    <w:rsid w:val="006C6D1C"/>
    <w:rsid w:val="006D4012"/>
    <w:rsid w:val="006D41F3"/>
    <w:rsid w:val="006E1978"/>
    <w:rsid w:val="006E3562"/>
    <w:rsid w:val="006F274A"/>
    <w:rsid w:val="00703281"/>
    <w:rsid w:val="00707C0C"/>
    <w:rsid w:val="00712559"/>
    <w:rsid w:val="00736384"/>
    <w:rsid w:val="007478CB"/>
    <w:rsid w:val="00757E80"/>
    <w:rsid w:val="00760683"/>
    <w:rsid w:val="007661DD"/>
    <w:rsid w:val="00767F8A"/>
    <w:rsid w:val="00772345"/>
    <w:rsid w:val="00772D40"/>
    <w:rsid w:val="007736D8"/>
    <w:rsid w:val="00777C2B"/>
    <w:rsid w:val="00787A79"/>
    <w:rsid w:val="0079094F"/>
    <w:rsid w:val="00795305"/>
    <w:rsid w:val="00795F9A"/>
    <w:rsid w:val="007A1D77"/>
    <w:rsid w:val="007C29D3"/>
    <w:rsid w:val="007D3B91"/>
    <w:rsid w:val="007D7B68"/>
    <w:rsid w:val="007F2E4E"/>
    <w:rsid w:val="007F73A8"/>
    <w:rsid w:val="00806AC8"/>
    <w:rsid w:val="00811BA1"/>
    <w:rsid w:val="00821043"/>
    <w:rsid w:val="00836E53"/>
    <w:rsid w:val="008515B7"/>
    <w:rsid w:val="00855816"/>
    <w:rsid w:val="00873F02"/>
    <w:rsid w:val="00892FDE"/>
    <w:rsid w:val="00896338"/>
    <w:rsid w:val="00896AB8"/>
    <w:rsid w:val="008B3443"/>
    <w:rsid w:val="008B40AC"/>
    <w:rsid w:val="008C2E5E"/>
    <w:rsid w:val="008C3FBD"/>
    <w:rsid w:val="008E030E"/>
    <w:rsid w:val="008E14BB"/>
    <w:rsid w:val="008F0D7E"/>
    <w:rsid w:val="008F265F"/>
    <w:rsid w:val="008F40B1"/>
    <w:rsid w:val="00901609"/>
    <w:rsid w:val="0091492F"/>
    <w:rsid w:val="0091794D"/>
    <w:rsid w:val="009239E2"/>
    <w:rsid w:val="00927AF5"/>
    <w:rsid w:val="009421BB"/>
    <w:rsid w:val="00956EF4"/>
    <w:rsid w:val="00960854"/>
    <w:rsid w:val="00967248"/>
    <w:rsid w:val="009674EA"/>
    <w:rsid w:val="0098265F"/>
    <w:rsid w:val="00996BCB"/>
    <w:rsid w:val="009A1CBB"/>
    <w:rsid w:val="00A25521"/>
    <w:rsid w:val="00A3503F"/>
    <w:rsid w:val="00A44F17"/>
    <w:rsid w:val="00A508DB"/>
    <w:rsid w:val="00A678D4"/>
    <w:rsid w:val="00A85C61"/>
    <w:rsid w:val="00AA19DE"/>
    <w:rsid w:val="00AB1420"/>
    <w:rsid w:val="00AB20B3"/>
    <w:rsid w:val="00AB542E"/>
    <w:rsid w:val="00AC5FE9"/>
    <w:rsid w:val="00AC7981"/>
    <w:rsid w:val="00AE0327"/>
    <w:rsid w:val="00AE4E47"/>
    <w:rsid w:val="00AE5305"/>
    <w:rsid w:val="00AF5CED"/>
    <w:rsid w:val="00B202B9"/>
    <w:rsid w:val="00B23E0C"/>
    <w:rsid w:val="00B31285"/>
    <w:rsid w:val="00B43824"/>
    <w:rsid w:val="00B439ED"/>
    <w:rsid w:val="00B46543"/>
    <w:rsid w:val="00B52D81"/>
    <w:rsid w:val="00B560B3"/>
    <w:rsid w:val="00B60AC5"/>
    <w:rsid w:val="00B72FD0"/>
    <w:rsid w:val="00B763EF"/>
    <w:rsid w:val="00B85761"/>
    <w:rsid w:val="00BA4940"/>
    <w:rsid w:val="00BA6C40"/>
    <w:rsid w:val="00BC0667"/>
    <w:rsid w:val="00BC3582"/>
    <w:rsid w:val="00BD2C89"/>
    <w:rsid w:val="00BE01DF"/>
    <w:rsid w:val="00BE6716"/>
    <w:rsid w:val="00BF7220"/>
    <w:rsid w:val="00C00BC7"/>
    <w:rsid w:val="00C040BF"/>
    <w:rsid w:val="00C062D0"/>
    <w:rsid w:val="00C07981"/>
    <w:rsid w:val="00C250F0"/>
    <w:rsid w:val="00C267EC"/>
    <w:rsid w:val="00C33863"/>
    <w:rsid w:val="00C40D1C"/>
    <w:rsid w:val="00C44FE1"/>
    <w:rsid w:val="00C46464"/>
    <w:rsid w:val="00C46FFD"/>
    <w:rsid w:val="00C51290"/>
    <w:rsid w:val="00C619CF"/>
    <w:rsid w:val="00C62885"/>
    <w:rsid w:val="00C84536"/>
    <w:rsid w:val="00C91D36"/>
    <w:rsid w:val="00C94049"/>
    <w:rsid w:val="00C953CA"/>
    <w:rsid w:val="00CA36FF"/>
    <w:rsid w:val="00CA6D48"/>
    <w:rsid w:val="00CB385B"/>
    <w:rsid w:val="00CB7EE9"/>
    <w:rsid w:val="00CC4E60"/>
    <w:rsid w:val="00CD19EA"/>
    <w:rsid w:val="00CF2D4C"/>
    <w:rsid w:val="00CF37C1"/>
    <w:rsid w:val="00CF5BC7"/>
    <w:rsid w:val="00D01C8A"/>
    <w:rsid w:val="00D24A8C"/>
    <w:rsid w:val="00D35D55"/>
    <w:rsid w:val="00D41564"/>
    <w:rsid w:val="00D46C86"/>
    <w:rsid w:val="00D568F9"/>
    <w:rsid w:val="00D74C67"/>
    <w:rsid w:val="00D92308"/>
    <w:rsid w:val="00D977F3"/>
    <w:rsid w:val="00DB5ABB"/>
    <w:rsid w:val="00DC0B46"/>
    <w:rsid w:val="00DD10ED"/>
    <w:rsid w:val="00DE2449"/>
    <w:rsid w:val="00DF74E3"/>
    <w:rsid w:val="00E1495A"/>
    <w:rsid w:val="00E36EDD"/>
    <w:rsid w:val="00E40648"/>
    <w:rsid w:val="00E4287D"/>
    <w:rsid w:val="00E5758E"/>
    <w:rsid w:val="00E7001B"/>
    <w:rsid w:val="00E73528"/>
    <w:rsid w:val="00E86519"/>
    <w:rsid w:val="00E90189"/>
    <w:rsid w:val="00EA1F4E"/>
    <w:rsid w:val="00EB11CB"/>
    <w:rsid w:val="00EB7A84"/>
    <w:rsid w:val="00ED6840"/>
    <w:rsid w:val="00EF4A9D"/>
    <w:rsid w:val="00F0518D"/>
    <w:rsid w:val="00F13327"/>
    <w:rsid w:val="00F3628E"/>
    <w:rsid w:val="00F537B5"/>
    <w:rsid w:val="00F622F1"/>
    <w:rsid w:val="00F71AC1"/>
    <w:rsid w:val="00F92F50"/>
    <w:rsid w:val="00FB13CC"/>
    <w:rsid w:val="00FB2388"/>
    <w:rsid w:val="00FB2AC7"/>
    <w:rsid w:val="00FC1F5A"/>
    <w:rsid w:val="00FD02C2"/>
    <w:rsid w:val="00FD34E5"/>
    <w:rsid w:val="00FE60EB"/>
    <w:rsid w:val="00FF1022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3E8D"/>
  <w15:docId w15:val="{F17F4735-ED1C-4204-97A6-EFF10997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A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D55"/>
    <w:pPr>
      <w:ind w:left="720"/>
      <w:contextualSpacing/>
    </w:pPr>
  </w:style>
  <w:style w:type="character" w:customStyle="1" w:styleId="object">
    <w:name w:val="object"/>
    <w:basedOn w:val="DefaultParagraphFont"/>
    <w:rsid w:val="007F73A8"/>
  </w:style>
  <w:style w:type="character" w:styleId="Hyperlink">
    <w:name w:val="Hyperlink"/>
    <w:basedOn w:val="DefaultParagraphFont"/>
    <w:uiPriority w:val="99"/>
    <w:unhideWhenUsed/>
    <w:rsid w:val="00D46C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4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4F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4F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F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40D8-4803-43C9-AC76-6C7AD8C8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Gyongyver</dc:creator>
  <cp:lastModifiedBy>PR</cp:lastModifiedBy>
  <cp:revision>10</cp:revision>
  <cp:lastPrinted>2017-01-12T10:52:00Z</cp:lastPrinted>
  <dcterms:created xsi:type="dcterms:W3CDTF">2017-05-05T12:26:00Z</dcterms:created>
  <dcterms:modified xsi:type="dcterms:W3CDTF">2017-05-06T12:37:00Z</dcterms:modified>
</cp:coreProperties>
</file>